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566"/>
      </w:tblGrid>
      <w:tr w:rsidR="005B3BA5" w:rsidRPr="00DE7441" w:rsidTr="004B0E89">
        <w:tc>
          <w:tcPr>
            <w:tcW w:w="4428" w:type="dxa"/>
          </w:tcPr>
          <w:p w:rsidR="005B3BA5" w:rsidRPr="00DE7441" w:rsidRDefault="005B3BA5" w:rsidP="0073779D">
            <w:pPr>
              <w:widowControl w:val="0"/>
              <w:autoSpaceDE w:val="0"/>
              <w:autoSpaceDN w:val="0"/>
              <w:adjustRightInd w:val="0"/>
              <w:spacing w:after="240"/>
              <w:rPr>
                <w:rFonts w:ascii="Calibri" w:hAnsi="Calibri" w:cs="Times"/>
                <w:b/>
                <w:lang w:val="tr-TR"/>
              </w:rPr>
            </w:pPr>
          </w:p>
        </w:tc>
        <w:tc>
          <w:tcPr>
            <w:tcW w:w="4428" w:type="dxa"/>
          </w:tcPr>
          <w:p w:rsidR="005B3BA5" w:rsidRPr="00DE7441" w:rsidRDefault="005B3BA5" w:rsidP="0073779D">
            <w:pPr>
              <w:widowControl w:val="0"/>
              <w:autoSpaceDE w:val="0"/>
              <w:autoSpaceDN w:val="0"/>
              <w:adjustRightInd w:val="0"/>
              <w:spacing w:after="240"/>
              <w:jc w:val="right"/>
              <w:rPr>
                <w:rFonts w:ascii="Calibri" w:hAnsi="Calibri" w:cs="Times"/>
                <w:b/>
                <w:lang w:val="tr-TR"/>
              </w:rPr>
            </w:pPr>
            <w:r>
              <w:rPr>
                <w:rFonts w:ascii="Calibri" w:hAnsi="Calibri" w:cs="Times"/>
                <w:b/>
                <w:noProof/>
                <w:lang w:val="tr-TR" w:eastAsia="tr-TR"/>
              </w:rPr>
              <w:drawing>
                <wp:inline distT="0" distB="0" distL="0" distR="0">
                  <wp:extent cx="2762312" cy="116289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588" cy="1163009"/>
                          </a:xfrm>
                          <a:prstGeom prst="rect">
                            <a:avLst/>
                          </a:prstGeom>
                          <a:noFill/>
                          <a:ln>
                            <a:noFill/>
                          </a:ln>
                        </pic:spPr>
                      </pic:pic>
                    </a:graphicData>
                  </a:graphic>
                </wp:inline>
              </w:drawing>
            </w:r>
          </w:p>
        </w:tc>
      </w:tr>
      <w:tr w:rsidR="0073779D" w:rsidRPr="00DE7441" w:rsidTr="004B0E89">
        <w:tc>
          <w:tcPr>
            <w:tcW w:w="4428" w:type="dxa"/>
          </w:tcPr>
          <w:p w:rsidR="0073779D" w:rsidRPr="00DE7441" w:rsidRDefault="0073779D" w:rsidP="0073779D">
            <w:pPr>
              <w:widowControl w:val="0"/>
              <w:autoSpaceDE w:val="0"/>
              <w:autoSpaceDN w:val="0"/>
              <w:adjustRightInd w:val="0"/>
              <w:spacing w:after="240"/>
              <w:rPr>
                <w:rFonts w:ascii="Calibri" w:hAnsi="Calibri" w:cs="Times"/>
                <w:b/>
                <w:lang w:val="tr-TR"/>
              </w:rPr>
            </w:pPr>
            <w:r w:rsidRPr="00DE7441">
              <w:rPr>
                <w:rFonts w:ascii="Calibri" w:hAnsi="Calibri" w:cs="Times"/>
                <w:b/>
                <w:lang w:val="tr-TR"/>
              </w:rPr>
              <w:t>Venedik, 14 Ekim 2016</w:t>
            </w:r>
          </w:p>
          <w:p w:rsidR="0073779D" w:rsidRPr="00DE7441" w:rsidRDefault="0073779D" w:rsidP="0073779D">
            <w:pPr>
              <w:widowControl w:val="0"/>
              <w:autoSpaceDE w:val="0"/>
              <w:autoSpaceDN w:val="0"/>
              <w:adjustRightInd w:val="0"/>
              <w:spacing w:after="240"/>
              <w:rPr>
                <w:rFonts w:ascii="Calibri" w:hAnsi="Calibri" w:cs="Times"/>
                <w:b/>
                <w:lang w:val="tr-TR"/>
              </w:rPr>
            </w:pPr>
            <w:r w:rsidRPr="00DE7441">
              <w:rPr>
                <w:rFonts w:ascii="Calibri" w:hAnsi="Calibri" w:cs="Times"/>
                <w:b/>
                <w:lang w:val="tr-TR"/>
              </w:rPr>
              <w:t>858 / 2016 Sayılı Görüş</w:t>
            </w:r>
          </w:p>
          <w:p w:rsidR="0073779D" w:rsidRPr="00DE7441" w:rsidRDefault="0073779D" w:rsidP="0073779D">
            <w:pPr>
              <w:widowControl w:val="0"/>
              <w:autoSpaceDE w:val="0"/>
              <w:autoSpaceDN w:val="0"/>
              <w:adjustRightInd w:val="0"/>
              <w:spacing w:after="240"/>
              <w:rPr>
                <w:rFonts w:ascii="Calibri" w:hAnsi="Calibri" w:cs="Times"/>
                <w:b/>
                <w:lang w:val="tr-TR"/>
              </w:rPr>
            </w:pPr>
          </w:p>
        </w:tc>
        <w:tc>
          <w:tcPr>
            <w:tcW w:w="4428" w:type="dxa"/>
          </w:tcPr>
          <w:p w:rsidR="0073779D" w:rsidRPr="00DE7441" w:rsidRDefault="0073779D" w:rsidP="0073779D">
            <w:pPr>
              <w:widowControl w:val="0"/>
              <w:autoSpaceDE w:val="0"/>
              <w:autoSpaceDN w:val="0"/>
              <w:adjustRightInd w:val="0"/>
              <w:spacing w:after="240"/>
              <w:jc w:val="right"/>
              <w:rPr>
                <w:rFonts w:ascii="Calibri" w:hAnsi="Calibri" w:cs="Times"/>
                <w:b/>
                <w:lang w:val="tr-TR"/>
              </w:rPr>
            </w:pPr>
            <w:r w:rsidRPr="00DE7441">
              <w:rPr>
                <w:rFonts w:ascii="Calibri" w:hAnsi="Calibri" w:cs="Times"/>
                <w:b/>
                <w:lang w:val="tr-TR"/>
              </w:rPr>
              <w:t>CDL-AD(2016)027</w:t>
            </w:r>
          </w:p>
          <w:p w:rsidR="0073779D" w:rsidRPr="00DE7441" w:rsidRDefault="0073779D" w:rsidP="0073779D">
            <w:pPr>
              <w:widowControl w:val="0"/>
              <w:autoSpaceDE w:val="0"/>
              <w:autoSpaceDN w:val="0"/>
              <w:adjustRightInd w:val="0"/>
              <w:spacing w:after="240"/>
              <w:jc w:val="right"/>
              <w:rPr>
                <w:rFonts w:ascii="Calibri" w:hAnsi="Calibri" w:cs="Times"/>
                <w:b/>
                <w:lang w:val="tr-TR"/>
              </w:rPr>
            </w:pPr>
            <w:r w:rsidRPr="00DE7441">
              <w:rPr>
                <w:rFonts w:ascii="Calibri" w:hAnsi="Calibri" w:cs="Times"/>
                <w:b/>
                <w:lang w:val="tr-TR"/>
              </w:rPr>
              <w:t>Orijinal: İngilizce</w:t>
            </w:r>
          </w:p>
          <w:p w:rsidR="0073779D" w:rsidRPr="00DE7441" w:rsidRDefault="0073779D" w:rsidP="0073779D">
            <w:pPr>
              <w:widowControl w:val="0"/>
              <w:autoSpaceDE w:val="0"/>
              <w:autoSpaceDN w:val="0"/>
              <w:adjustRightInd w:val="0"/>
              <w:spacing w:after="240"/>
              <w:rPr>
                <w:rFonts w:ascii="Calibri" w:hAnsi="Calibri" w:cs="Times"/>
                <w:b/>
                <w:lang w:val="tr-TR"/>
              </w:rPr>
            </w:pPr>
          </w:p>
        </w:tc>
      </w:tr>
    </w:tbl>
    <w:p w:rsidR="0073779D" w:rsidRPr="00DE7441" w:rsidRDefault="0073779D" w:rsidP="0073779D">
      <w:pPr>
        <w:widowControl w:val="0"/>
        <w:autoSpaceDE w:val="0"/>
        <w:autoSpaceDN w:val="0"/>
        <w:adjustRightInd w:val="0"/>
        <w:spacing w:after="240"/>
        <w:rPr>
          <w:rFonts w:ascii="Calibri" w:hAnsi="Calibri" w:cs="Times"/>
          <w:b/>
          <w:lang w:val="tr-TR"/>
        </w:rPr>
      </w:pPr>
    </w:p>
    <w:p w:rsidR="0073779D" w:rsidRPr="00DE7441" w:rsidRDefault="0073779D" w:rsidP="0073779D">
      <w:pPr>
        <w:widowControl w:val="0"/>
        <w:autoSpaceDE w:val="0"/>
        <w:autoSpaceDN w:val="0"/>
        <w:adjustRightInd w:val="0"/>
        <w:spacing w:after="240"/>
        <w:rPr>
          <w:rFonts w:ascii="Calibri" w:hAnsi="Calibri" w:cs="Times"/>
          <w:b/>
          <w:lang w:val="tr-TR"/>
        </w:rPr>
      </w:pPr>
    </w:p>
    <w:p w:rsidR="0073779D" w:rsidRPr="00DE7441" w:rsidRDefault="0073779D" w:rsidP="0073779D">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 xml:space="preserve">AVRUPA HUKUK YOLUYLA DEMOKRASİ KOMİSYONU </w:t>
      </w:r>
    </w:p>
    <w:p w:rsidR="0073779D" w:rsidRPr="00DE7441" w:rsidRDefault="0073779D" w:rsidP="0073779D">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(VENEDİK KOMİSYONU)</w:t>
      </w:r>
    </w:p>
    <w:p w:rsidR="0073779D" w:rsidRPr="00DE7441" w:rsidRDefault="0073779D" w:rsidP="0073779D">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TÜRKİYE</w:t>
      </w:r>
    </w:p>
    <w:p w:rsidR="0073779D" w:rsidRPr="00DE7441" w:rsidRDefault="0073779D" w:rsidP="0073779D">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ANAYASA’NIN 83. MADDESİNİN İKİNCİ FIKRASININ ASKIYA ALINMASI HAKKINDA GÖRÜŞ</w:t>
      </w:r>
    </w:p>
    <w:p w:rsidR="0073779D" w:rsidRPr="00DE7441" w:rsidRDefault="0073779D" w:rsidP="0073779D">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(YASAMA DOKUNULMAZLIĞI)</w:t>
      </w:r>
    </w:p>
    <w:p w:rsidR="0073779D" w:rsidRPr="00DE7441" w:rsidRDefault="0073779D" w:rsidP="0073779D">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 xml:space="preserve">Venedik Komisyonu tarafından 108. Genel Oturumunda kabul edilmiştir </w:t>
      </w:r>
    </w:p>
    <w:p w:rsidR="0073779D" w:rsidRPr="00DE7441" w:rsidRDefault="0073779D" w:rsidP="0073779D">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 xml:space="preserve">(Venedik, 14-15 Ekim 2016) </w:t>
      </w:r>
    </w:p>
    <w:p w:rsidR="003E30D7" w:rsidRPr="00DE7441" w:rsidRDefault="003E30D7" w:rsidP="0046275A">
      <w:pPr>
        <w:widowControl w:val="0"/>
        <w:autoSpaceDE w:val="0"/>
        <w:autoSpaceDN w:val="0"/>
        <w:adjustRightInd w:val="0"/>
        <w:spacing w:after="240"/>
        <w:jc w:val="center"/>
        <w:rPr>
          <w:rFonts w:ascii="Calibri" w:hAnsi="Calibri" w:cs="Times"/>
          <w:b/>
          <w:lang w:val="tr-TR"/>
        </w:rPr>
      </w:pPr>
    </w:p>
    <w:p w:rsidR="0073779D" w:rsidRPr="00DE7441" w:rsidRDefault="00144457" w:rsidP="0046275A">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Görüş bildiren üyeler</w:t>
      </w:r>
      <w:r w:rsidR="0073779D" w:rsidRPr="00DE7441">
        <w:rPr>
          <w:rFonts w:ascii="Calibri" w:hAnsi="Calibri" w:cs="Times"/>
          <w:b/>
          <w:lang w:val="tr-TR"/>
        </w:rPr>
        <w:t>:</w:t>
      </w:r>
    </w:p>
    <w:p w:rsidR="0073779D" w:rsidRPr="00DE7441" w:rsidRDefault="0073779D" w:rsidP="0046275A">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 xml:space="preserve">Bay Michael </w:t>
      </w:r>
      <w:proofErr w:type="spellStart"/>
      <w:r w:rsidRPr="00DE7441">
        <w:rPr>
          <w:rFonts w:ascii="Calibri" w:hAnsi="Calibri" w:cs="Times"/>
          <w:b/>
          <w:lang w:val="tr-TR"/>
        </w:rPr>
        <w:t>Frendo</w:t>
      </w:r>
      <w:proofErr w:type="spellEnd"/>
      <w:r w:rsidRPr="00DE7441">
        <w:rPr>
          <w:rFonts w:ascii="Calibri" w:hAnsi="Calibri" w:cs="Times"/>
          <w:b/>
          <w:lang w:val="tr-TR"/>
        </w:rPr>
        <w:t xml:space="preserve"> (Üye, Malta) </w:t>
      </w:r>
    </w:p>
    <w:p w:rsidR="0073779D" w:rsidRPr="00DE7441" w:rsidRDefault="0073779D" w:rsidP="0046275A">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 xml:space="preserve">Bay Dan </w:t>
      </w:r>
      <w:proofErr w:type="spellStart"/>
      <w:r w:rsidRPr="00DE7441">
        <w:rPr>
          <w:rFonts w:ascii="Calibri" w:hAnsi="Calibri" w:cs="Times"/>
          <w:b/>
          <w:lang w:val="tr-TR"/>
        </w:rPr>
        <w:t>Meridor</w:t>
      </w:r>
      <w:proofErr w:type="spellEnd"/>
      <w:r w:rsidRPr="00DE7441">
        <w:rPr>
          <w:rFonts w:ascii="Calibri" w:hAnsi="Calibri" w:cs="Times"/>
          <w:b/>
          <w:lang w:val="tr-TR"/>
        </w:rPr>
        <w:t xml:space="preserve"> (Üye, İsrail) </w:t>
      </w:r>
    </w:p>
    <w:p w:rsidR="0073779D" w:rsidRPr="00DE7441" w:rsidRDefault="0073779D" w:rsidP="0046275A">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 xml:space="preserve">Bayan </w:t>
      </w:r>
      <w:proofErr w:type="spellStart"/>
      <w:r w:rsidRPr="00DE7441">
        <w:rPr>
          <w:rFonts w:ascii="Calibri" w:hAnsi="Calibri" w:cs="Times"/>
          <w:b/>
          <w:lang w:val="tr-TR"/>
        </w:rPr>
        <w:t>Jasna</w:t>
      </w:r>
      <w:proofErr w:type="spellEnd"/>
      <w:r w:rsidRPr="00DE7441">
        <w:rPr>
          <w:rFonts w:ascii="Calibri" w:hAnsi="Calibri" w:cs="Times"/>
          <w:b/>
          <w:lang w:val="tr-TR"/>
        </w:rPr>
        <w:t xml:space="preserve"> </w:t>
      </w:r>
      <w:proofErr w:type="spellStart"/>
      <w:r w:rsidRPr="00DE7441">
        <w:rPr>
          <w:rFonts w:ascii="Calibri" w:hAnsi="Calibri" w:cs="Times"/>
          <w:b/>
          <w:lang w:val="tr-TR"/>
        </w:rPr>
        <w:t>Omejec</w:t>
      </w:r>
      <w:proofErr w:type="spellEnd"/>
      <w:r w:rsidRPr="00DE7441">
        <w:rPr>
          <w:rFonts w:ascii="Calibri" w:hAnsi="Calibri" w:cs="Times"/>
          <w:b/>
          <w:lang w:val="tr-TR"/>
        </w:rPr>
        <w:t xml:space="preserve"> (Üye, Hırvatistan) </w:t>
      </w:r>
    </w:p>
    <w:p w:rsidR="0073779D" w:rsidRPr="00DE7441" w:rsidRDefault="0073779D" w:rsidP="0046275A">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Bay Jean-</w:t>
      </w:r>
      <w:proofErr w:type="spellStart"/>
      <w:r w:rsidRPr="00DE7441">
        <w:rPr>
          <w:rFonts w:ascii="Calibri" w:hAnsi="Calibri" w:cs="Times"/>
          <w:b/>
          <w:lang w:val="tr-TR"/>
        </w:rPr>
        <w:t>Claude</w:t>
      </w:r>
      <w:proofErr w:type="spellEnd"/>
      <w:r w:rsidRPr="00DE7441">
        <w:rPr>
          <w:rFonts w:ascii="Calibri" w:hAnsi="Calibri" w:cs="Times"/>
          <w:b/>
          <w:lang w:val="tr-TR"/>
        </w:rPr>
        <w:t xml:space="preserve"> </w:t>
      </w:r>
      <w:proofErr w:type="spellStart"/>
      <w:r w:rsidRPr="00DE7441">
        <w:rPr>
          <w:rFonts w:ascii="Calibri" w:hAnsi="Calibri" w:cs="Times"/>
          <w:b/>
          <w:lang w:val="tr-TR"/>
        </w:rPr>
        <w:t>Scholsem</w:t>
      </w:r>
      <w:proofErr w:type="spellEnd"/>
      <w:r w:rsidRPr="00DE7441">
        <w:rPr>
          <w:rFonts w:ascii="Calibri" w:hAnsi="Calibri" w:cs="Times"/>
          <w:b/>
          <w:lang w:val="tr-TR"/>
        </w:rPr>
        <w:t xml:space="preserve"> (Yedek Üye, Belçika)</w:t>
      </w:r>
    </w:p>
    <w:p w:rsidR="0073779D" w:rsidRPr="00DE7441" w:rsidRDefault="0073779D" w:rsidP="0046275A">
      <w:pPr>
        <w:widowControl w:val="0"/>
        <w:autoSpaceDE w:val="0"/>
        <w:autoSpaceDN w:val="0"/>
        <w:adjustRightInd w:val="0"/>
        <w:spacing w:after="240"/>
        <w:jc w:val="center"/>
        <w:rPr>
          <w:rFonts w:ascii="Calibri" w:hAnsi="Calibri" w:cs="Times"/>
          <w:b/>
          <w:lang w:val="tr-TR"/>
        </w:rPr>
      </w:pPr>
      <w:r w:rsidRPr="00DE7441">
        <w:rPr>
          <w:rFonts w:ascii="Calibri" w:hAnsi="Calibri" w:cs="Times"/>
          <w:b/>
          <w:lang w:val="tr-TR"/>
        </w:rPr>
        <w:t xml:space="preserve">Bay </w:t>
      </w:r>
      <w:proofErr w:type="spellStart"/>
      <w:r w:rsidRPr="00DE7441">
        <w:rPr>
          <w:rFonts w:ascii="Calibri" w:hAnsi="Calibri" w:cs="Times"/>
          <w:b/>
          <w:lang w:val="tr-TR"/>
        </w:rPr>
        <w:t>Kaarlo</w:t>
      </w:r>
      <w:proofErr w:type="spellEnd"/>
      <w:r w:rsidRPr="00DE7441">
        <w:rPr>
          <w:rFonts w:ascii="Calibri" w:hAnsi="Calibri" w:cs="Times"/>
          <w:b/>
          <w:lang w:val="tr-TR"/>
        </w:rPr>
        <w:t xml:space="preserve"> </w:t>
      </w:r>
      <w:proofErr w:type="spellStart"/>
      <w:r w:rsidRPr="00DE7441">
        <w:rPr>
          <w:rFonts w:ascii="Calibri" w:hAnsi="Calibri" w:cs="Times"/>
          <w:b/>
          <w:lang w:val="tr-TR"/>
        </w:rPr>
        <w:t>Tuori</w:t>
      </w:r>
      <w:proofErr w:type="spellEnd"/>
      <w:r w:rsidRPr="00DE7441">
        <w:rPr>
          <w:rFonts w:ascii="Calibri" w:hAnsi="Calibri" w:cs="Times"/>
          <w:b/>
          <w:lang w:val="tr-TR"/>
        </w:rPr>
        <w:t xml:space="preserve"> (Üye, Finlandiya)</w:t>
      </w:r>
    </w:p>
    <w:p w:rsidR="0073779D" w:rsidRPr="00DE7441" w:rsidRDefault="0073779D">
      <w:pPr>
        <w:rPr>
          <w:rFonts w:ascii="Calibri" w:hAnsi="Calibri" w:cs="Times"/>
          <w:b/>
          <w:lang w:val="tr-TR"/>
        </w:rPr>
      </w:pPr>
      <w:r w:rsidRPr="00DE7441">
        <w:rPr>
          <w:rFonts w:ascii="Calibri" w:hAnsi="Calibri" w:cs="Times"/>
          <w:b/>
          <w:lang w:val="tr-TR"/>
        </w:rPr>
        <w:br w:type="page"/>
      </w:r>
      <w:bookmarkStart w:id="0" w:name="_GoBack"/>
      <w:bookmarkEnd w:id="0"/>
    </w:p>
    <w:p w:rsidR="003E30D7" w:rsidRPr="00DE7441" w:rsidRDefault="003E30D7" w:rsidP="00AC5906">
      <w:pPr>
        <w:widowControl w:val="0"/>
        <w:autoSpaceDE w:val="0"/>
        <w:autoSpaceDN w:val="0"/>
        <w:adjustRightInd w:val="0"/>
        <w:spacing w:after="240"/>
        <w:rPr>
          <w:rFonts w:ascii="Calibri" w:hAnsi="Calibri" w:cs="Times"/>
          <w:b/>
          <w:lang w:val="tr-TR"/>
        </w:rPr>
      </w:pPr>
    </w:p>
    <w:p w:rsidR="003E30D7" w:rsidRPr="00DE7441" w:rsidRDefault="003E30D7" w:rsidP="00AC5906">
      <w:pPr>
        <w:widowControl w:val="0"/>
        <w:autoSpaceDE w:val="0"/>
        <w:autoSpaceDN w:val="0"/>
        <w:adjustRightInd w:val="0"/>
        <w:spacing w:after="240"/>
        <w:rPr>
          <w:rFonts w:ascii="Calibri" w:hAnsi="Calibri" w:cs="Times"/>
          <w:b/>
          <w:lang w:val="tr-TR"/>
        </w:rPr>
      </w:pPr>
    </w:p>
    <w:p w:rsidR="003E30D7" w:rsidRPr="00DE7441" w:rsidRDefault="003E30D7" w:rsidP="00AC5906">
      <w:pPr>
        <w:widowControl w:val="0"/>
        <w:autoSpaceDE w:val="0"/>
        <w:autoSpaceDN w:val="0"/>
        <w:adjustRightInd w:val="0"/>
        <w:spacing w:after="240"/>
        <w:rPr>
          <w:rFonts w:ascii="Calibri" w:hAnsi="Calibri" w:cs="Times"/>
          <w:b/>
          <w:lang w:val="tr-TR"/>
        </w:rPr>
      </w:pPr>
    </w:p>
    <w:p w:rsidR="0073779D" w:rsidRPr="00DE7441" w:rsidRDefault="002130BE" w:rsidP="00AC5906">
      <w:pPr>
        <w:widowControl w:val="0"/>
        <w:autoSpaceDE w:val="0"/>
        <w:autoSpaceDN w:val="0"/>
        <w:adjustRightInd w:val="0"/>
        <w:spacing w:after="240"/>
        <w:rPr>
          <w:rFonts w:ascii="Calibri" w:hAnsi="Calibri" w:cs="Times"/>
          <w:b/>
          <w:lang w:val="tr-TR"/>
        </w:rPr>
      </w:pPr>
      <w:r w:rsidRPr="00DE7441">
        <w:rPr>
          <w:rFonts w:ascii="Calibri" w:hAnsi="Calibri" w:cs="Times"/>
          <w:b/>
          <w:lang w:val="tr-TR"/>
        </w:rPr>
        <w:t>İçindekiler</w:t>
      </w:r>
    </w:p>
    <w:p w:rsidR="002130BE" w:rsidRPr="00DE7441" w:rsidRDefault="00F93B8B">
      <w:pPr>
        <w:pStyle w:val="T1"/>
        <w:tabs>
          <w:tab w:val="right" w:leader="dot" w:pos="8630"/>
        </w:tabs>
        <w:rPr>
          <w:noProof/>
          <w:lang w:val="tr-TR"/>
        </w:rPr>
      </w:pPr>
      <w:r w:rsidRPr="00DE7441">
        <w:rPr>
          <w:rFonts w:ascii="Calibri" w:hAnsi="Calibri" w:cs="Times"/>
          <w:b/>
          <w:lang w:val="tr-TR"/>
        </w:rPr>
        <w:fldChar w:fldCharType="begin"/>
      </w:r>
      <w:r w:rsidR="002130BE" w:rsidRPr="00DE7441">
        <w:rPr>
          <w:rFonts w:ascii="Calibri" w:hAnsi="Calibri" w:cs="Times"/>
          <w:b/>
          <w:lang w:val="tr-TR"/>
        </w:rPr>
        <w:instrText xml:space="preserve"> TOC  \* MERGEFORMAT </w:instrText>
      </w:r>
      <w:r w:rsidRPr="00DE7441">
        <w:rPr>
          <w:rFonts w:ascii="Calibri" w:hAnsi="Calibri" w:cs="Times"/>
          <w:b/>
          <w:lang w:val="tr-TR"/>
        </w:rPr>
        <w:fldChar w:fldCharType="separate"/>
      </w:r>
      <w:r w:rsidR="002130BE" w:rsidRPr="00DE7441">
        <w:rPr>
          <w:noProof/>
          <w:lang w:val="tr-TR"/>
        </w:rPr>
        <w:t>I. Giriş</w:t>
      </w:r>
      <w:r w:rsidR="002130BE" w:rsidRPr="00DE7441">
        <w:rPr>
          <w:noProof/>
          <w:lang w:val="tr-TR"/>
        </w:rPr>
        <w:tab/>
      </w:r>
      <w:r w:rsidRPr="00DE7441">
        <w:rPr>
          <w:noProof/>
          <w:lang w:val="tr-TR"/>
        </w:rPr>
        <w:fldChar w:fldCharType="begin"/>
      </w:r>
      <w:r w:rsidR="002130BE" w:rsidRPr="00DE7441">
        <w:rPr>
          <w:noProof/>
          <w:lang w:val="tr-TR"/>
        </w:rPr>
        <w:instrText xml:space="preserve"> PAGEREF _Toc341526723 \h </w:instrText>
      </w:r>
      <w:r w:rsidRPr="00DE7441">
        <w:rPr>
          <w:noProof/>
          <w:lang w:val="tr-TR"/>
        </w:rPr>
      </w:r>
      <w:r w:rsidRPr="00DE7441">
        <w:rPr>
          <w:noProof/>
          <w:lang w:val="tr-TR"/>
        </w:rPr>
        <w:fldChar w:fldCharType="separate"/>
      </w:r>
      <w:r w:rsidR="002130BE" w:rsidRPr="00DE7441">
        <w:rPr>
          <w:noProof/>
          <w:lang w:val="tr-TR"/>
        </w:rPr>
        <w:t>3</w:t>
      </w:r>
      <w:r w:rsidRPr="00DE7441">
        <w:rPr>
          <w:noProof/>
          <w:lang w:val="tr-TR"/>
        </w:rPr>
        <w:fldChar w:fldCharType="end"/>
      </w:r>
    </w:p>
    <w:p w:rsidR="002130BE" w:rsidRPr="00DE7441" w:rsidRDefault="002130BE">
      <w:pPr>
        <w:pStyle w:val="T1"/>
        <w:tabs>
          <w:tab w:val="right" w:leader="dot" w:pos="8630"/>
        </w:tabs>
        <w:rPr>
          <w:noProof/>
          <w:lang w:val="tr-TR"/>
        </w:rPr>
      </w:pPr>
      <w:r w:rsidRPr="00DE7441">
        <w:rPr>
          <w:noProof/>
          <w:lang w:val="tr-TR"/>
        </w:rPr>
        <w:t>II. Genel</w:t>
      </w:r>
      <w:r w:rsidRPr="00DE7441">
        <w:rPr>
          <w:noProof/>
          <w:lang w:val="tr-TR"/>
        </w:rPr>
        <w:tab/>
      </w:r>
      <w:r w:rsidR="00F93B8B" w:rsidRPr="00DE7441">
        <w:rPr>
          <w:noProof/>
          <w:lang w:val="tr-TR"/>
        </w:rPr>
        <w:fldChar w:fldCharType="begin"/>
      </w:r>
      <w:r w:rsidRPr="00DE7441">
        <w:rPr>
          <w:noProof/>
          <w:lang w:val="tr-TR"/>
        </w:rPr>
        <w:instrText xml:space="preserve"> PAGEREF _Toc341526724 \h </w:instrText>
      </w:r>
      <w:r w:rsidR="00F93B8B" w:rsidRPr="00DE7441">
        <w:rPr>
          <w:noProof/>
          <w:lang w:val="tr-TR"/>
        </w:rPr>
      </w:r>
      <w:r w:rsidR="00F93B8B" w:rsidRPr="00DE7441">
        <w:rPr>
          <w:noProof/>
          <w:lang w:val="tr-TR"/>
        </w:rPr>
        <w:fldChar w:fldCharType="separate"/>
      </w:r>
      <w:r w:rsidRPr="00DE7441">
        <w:rPr>
          <w:noProof/>
          <w:lang w:val="tr-TR"/>
        </w:rPr>
        <w:t>3</w:t>
      </w:r>
      <w:r w:rsidR="00F93B8B" w:rsidRPr="00DE7441">
        <w:rPr>
          <w:noProof/>
          <w:lang w:val="tr-TR"/>
        </w:rPr>
        <w:fldChar w:fldCharType="end"/>
      </w:r>
    </w:p>
    <w:p w:rsidR="002130BE" w:rsidRPr="00DE7441" w:rsidRDefault="002130BE">
      <w:pPr>
        <w:pStyle w:val="T1"/>
        <w:tabs>
          <w:tab w:val="right" w:leader="dot" w:pos="8630"/>
        </w:tabs>
        <w:rPr>
          <w:noProof/>
          <w:lang w:val="tr-TR"/>
        </w:rPr>
      </w:pPr>
      <w:r w:rsidRPr="00DE7441">
        <w:rPr>
          <w:noProof/>
          <w:lang w:val="tr-TR"/>
        </w:rPr>
        <w:t>III. Yasama Dokunulmazlığının Kapsamı ve Kaldırılması ile ilgili Rapor</w:t>
      </w:r>
      <w:r w:rsidRPr="00DE7441">
        <w:rPr>
          <w:noProof/>
          <w:lang w:val="tr-TR"/>
        </w:rPr>
        <w:tab/>
      </w:r>
      <w:r w:rsidR="00F93B8B" w:rsidRPr="00DE7441">
        <w:rPr>
          <w:noProof/>
          <w:lang w:val="tr-TR"/>
        </w:rPr>
        <w:fldChar w:fldCharType="begin"/>
      </w:r>
      <w:r w:rsidRPr="00DE7441">
        <w:rPr>
          <w:noProof/>
          <w:lang w:val="tr-TR"/>
        </w:rPr>
        <w:instrText xml:space="preserve"> PAGEREF _Toc341526725 \h </w:instrText>
      </w:r>
      <w:r w:rsidR="00F93B8B" w:rsidRPr="00DE7441">
        <w:rPr>
          <w:noProof/>
          <w:lang w:val="tr-TR"/>
        </w:rPr>
      </w:r>
      <w:r w:rsidR="00F93B8B" w:rsidRPr="00DE7441">
        <w:rPr>
          <w:noProof/>
          <w:lang w:val="tr-TR"/>
        </w:rPr>
        <w:fldChar w:fldCharType="separate"/>
      </w:r>
      <w:r w:rsidRPr="00DE7441">
        <w:rPr>
          <w:noProof/>
          <w:lang w:val="tr-TR"/>
        </w:rPr>
        <w:t>4</w:t>
      </w:r>
      <w:r w:rsidR="00F93B8B" w:rsidRPr="00DE7441">
        <w:rPr>
          <w:noProof/>
          <w:lang w:val="tr-TR"/>
        </w:rPr>
        <w:fldChar w:fldCharType="end"/>
      </w:r>
    </w:p>
    <w:p w:rsidR="002130BE" w:rsidRPr="00DE7441" w:rsidRDefault="002130BE">
      <w:pPr>
        <w:pStyle w:val="T1"/>
        <w:tabs>
          <w:tab w:val="right" w:leader="dot" w:pos="8630"/>
        </w:tabs>
        <w:rPr>
          <w:noProof/>
          <w:lang w:val="tr-TR"/>
        </w:rPr>
      </w:pPr>
      <w:r w:rsidRPr="00DE7441">
        <w:rPr>
          <w:noProof/>
          <w:lang w:val="tr-TR"/>
        </w:rPr>
        <w:t>IV. Türkiye’de yasama dokunulmazlığının kaldırılmasına yönelik standart prosedür</w:t>
      </w:r>
      <w:r w:rsidRPr="00DE7441">
        <w:rPr>
          <w:noProof/>
          <w:lang w:val="tr-TR"/>
        </w:rPr>
        <w:tab/>
      </w:r>
      <w:r w:rsidR="00F93B8B" w:rsidRPr="00DE7441">
        <w:rPr>
          <w:noProof/>
          <w:lang w:val="tr-TR"/>
        </w:rPr>
        <w:fldChar w:fldCharType="begin"/>
      </w:r>
      <w:r w:rsidRPr="00DE7441">
        <w:rPr>
          <w:noProof/>
          <w:lang w:val="tr-TR"/>
        </w:rPr>
        <w:instrText xml:space="preserve"> PAGEREF _Toc341526726 \h </w:instrText>
      </w:r>
      <w:r w:rsidR="00F93B8B" w:rsidRPr="00DE7441">
        <w:rPr>
          <w:noProof/>
          <w:lang w:val="tr-TR"/>
        </w:rPr>
      </w:r>
      <w:r w:rsidR="00F93B8B" w:rsidRPr="00DE7441">
        <w:rPr>
          <w:noProof/>
          <w:lang w:val="tr-TR"/>
        </w:rPr>
        <w:fldChar w:fldCharType="separate"/>
      </w:r>
      <w:r w:rsidRPr="00DE7441">
        <w:rPr>
          <w:noProof/>
          <w:lang w:val="tr-TR"/>
        </w:rPr>
        <w:t>6</w:t>
      </w:r>
      <w:r w:rsidR="00F93B8B" w:rsidRPr="00DE7441">
        <w:rPr>
          <w:noProof/>
          <w:lang w:val="tr-TR"/>
        </w:rPr>
        <w:fldChar w:fldCharType="end"/>
      </w:r>
    </w:p>
    <w:p w:rsidR="002130BE" w:rsidRPr="00DE7441" w:rsidRDefault="002130BE">
      <w:pPr>
        <w:pStyle w:val="T2"/>
        <w:tabs>
          <w:tab w:val="left" w:pos="679"/>
          <w:tab w:val="right" w:leader="dot" w:pos="8630"/>
        </w:tabs>
        <w:rPr>
          <w:noProof/>
          <w:lang w:val="tr-TR"/>
        </w:rPr>
      </w:pPr>
      <w:r w:rsidRPr="00DE7441">
        <w:rPr>
          <w:noProof/>
          <w:lang w:val="tr-TR"/>
        </w:rPr>
        <w:t>A.</w:t>
      </w:r>
      <w:r w:rsidRPr="00DE7441">
        <w:rPr>
          <w:noProof/>
          <w:lang w:val="tr-TR"/>
        </w:rPr>
        <w:tab/>
        <w:t>Anayasal dayanak</w:t>
      </w:r>
      <w:r w:rsidRPr="00DE7441">
        <w:rPr>
          <w:noProof/>
          <w:lang w:val="tr-TR"/>
        </w:rPr>
        <w:tab/>
      </w:r>
      <w:r w:rsidR="00F93B8B" w:rsidRPr="00DE7441">
        <w:rPr>
          <w:noProof/>
          <w:lang w:val="tr-TR"/>
        </w:rPr>
        <w:fldChar w:fldCharType="begin"/>
      </w:r>
      <w:r w:rsidRPr="00DE7441">
        <w:rPr>
          <w:noProof/>
          <w:lang w:val="tr-TR"/>
        </w:rPr>
        <w:instrText xml:space="preserve"> PAGEREF _Toc341526727 \h </w:instrText>
      </w:r>
      <w:r w:rsidR="00F93B8B" w:rsidRPr="00DE7441">
        <w:rPr>
          <w:noProof/>
          <w:lang w:val="tr-TR"/>
        </w:rPr>
      </w:r>
      <w:r w:rsidR="00F93B8B" w:rsidRPr="00DE7441">
        <w:rPr>
          <w:noProof/>
          <w:lang w:val="tr-TR"/>
        </w:rPr>
        <w:fldChar w:fldCharType="separate"/>
      </w:r>
      <w:r w:rsidRPr="00DE7441">
        <w:rPr>
          <w:noProof/>
          <w:lang w:val="tr-TR"/>
        </w:rPr>
        <w:t>6</w:t>
      </w:r>
      <w:r w:rsidR="00F93B8B" w:rsidRPr="00DE7441">
        <w:rPr>
          <w:noProof/>
          <w:lang w:val="tr-TR"/>
        </w:rPr>
        <w:fldChar w:fldCharType="end"/>
      </w:r>
    </w:p>
    <w:p w:rsidR="002130BE" w:rsidRPr="00DE7441" w:rsidRDefault="002130BE">
      <w:pPr>
        <w:pStyle w:val="T2"/>
        <w:tabs>
          <w:tab w:val="right" w:leader="dot" w:pos="8630"/>
        </w:tabs>
        <w:rPr>
          <w:noProof/>
          <w:lang w:val="tr-TR"/>
        </w:rPr>
      </w:pPr>
      <w:r w:rsidRPr="00DE7441">
        <w:rPr>
          <w:noProof/>
          <w:lang w:val="tr-TR"/>
        </w:rPr>
        <w:t>B. Türkiye Büyük Millet Meclisi İçtüzüğünde yer alan usul ve güvenceler</w:t>
      </w:r>
      <w:r w:rsidRPr="00DE7441">
        <w:rPr>
          <w:noProof/>
          <w:lang w:val="tr-TR"/>
        </w:rPr>
        <w:tab/>
      </w:r>
      <w:r w:rsidR="00F93B8B" w:rsidRPr="00DE7441">
        <w:rPr>
          <w:noProof/>
          <w:lang w:val="tr-TR"/>
        </w:rPr>
        <w:fldChar w:fldCharType="begin"/>
      </w:r>
      <w:r w:rsidRPr="00DE7441">
        <w:rPr>
          <w:noProof/>
          <w:lang w:val="tr-TR"/>
        </w:rPr>
        <w:instrText xml:space="preserve"> PAGEREF _Toc341526728 \h </w:instrText>
      </w:r>
      <w:r w:rsidR="00F93B8B" w:rsidRPr="00DE7441">
        <w:rPr>
          <w:noProof/>
          <w:lang w:val="tr-TR"/>
        </w:rPr>
      </w:r>
      <w:r w:rsidR="00F93B8B" w:rsidRPr="00DE7441">
        <w:rPr>
          <w:noProof/>
          <w:lang w:val="tr-TR"/>
        </w:rPr>
        <w:fldChar w:fldCharType="separate"/>
      </w:r>
      <w:r w:rsidRPr="00DE7441">
        <w:rPr>
          <w:noProof/>
          <w:lang w:val="tr-TR"/>
        </w:rPr>
        <w:t>7</w:t>
      </w:r>
      <w:r w:rsidR="00F93B8B" w:rsidRPr="00DE7441">
        <w:rPr>
          <w:noProof/>
          <w:lang w:val="tr-TR"/>
        </w:rPr>
        <w:fldChar w:fldCharType="end"/>
      </w:r>
    </w:p>
    <w:p w:rsidR="002130BE" w:rsidRPr="00DE7441" w:rsidRDefault="002130BE">
      <w:pPr>
        <w:pStyle w:val="T1"/>
        <w:tabs>
          <w:tab w:val="right" w:leader="dot" w:pos="8630"/>
        </w:tabs>
        <w:rPr>
          <w:noProof/>
          <w:lang w:val="tr-TR"/>
        </w:rPr>
      </w:pPr>
      <w:r w:rsidRPr="00DE7441">
        <w:rPr>
          <w:noProof/>
          <w:lang w:val="tr-TR"/>
        </w:rPr>
        <w:t>V. 12 Nisan 2016 tarihli Anayasa Değişikliği</w:t>
      </w:r>
      <w:r w:rsidRPr="00DE7441">
        <w:rPr>
          <w:noProof/>
          <w:lang w:val="tr-TR"/>
        </w:rPr>
        <w:tab/>
      </w:r>
      <w:r w:rsidR="00F93B8B" w:rsidRPr="00DE7441">
        <w:rPr>
          <w:noProof/>
          <w:lang w:val="tr-TR"/>
        </w:rPr>
        <w:fldChar w:fldCharType="begin"/>
      </w:r>
      <w:r w:rsidRPr="00DE7441">
        <w:rPr>
          <w:noProof/>
          <w:lang w:val="tr-TR"/>
        </w:rPr>
        <w:instrText xml:space="preserve"> PAGEREF _Toc341526729 \h </w:instrText>
      </w:r>
      <w:r w:rsidR="00F93B8B" w:rsidRPr="00DE7441">
        <w:rPr>
          <w:noProof/>
          <w:lang w:val="tr-TR"/>
        </w:rPr>
      </w:r>
      <w:r w:rsidR="00F93B8B" w:rsidRPr="00DE7441">
        <w:rPr>
          <w:noProof/>
          <w:lang w:val="tr-TR"/>
        </w:rPr>
        <w:fldChar w:fldCharType="separate"/>
      </w:r>
      <w:r w:rsidRPr="00DE7441">
        <w:rPr>
          <w:noProof/>
          <w:lang w:val="tr-TR"/>
        </w:rPr>
        <w:t>8</w:t>
      </w:r>
      <w:r w:rsidR="00F93B8B" w:rsidRPr="00DE7441">
        <w:rPr>
          <w:noProof/>
          <w:lang w:val="tr-TR"/>
        </w:rPr>
        <w:fldChar w:fldCharType="end"/>
      </w:r>
    </w:p>
    <w:p w:rsidR="002130BE" w:rsidRPr="00DE7441" w:rsidRDefault="002130BE">
      <w:pPr>
        <w:pStyle w:val="T1"/>
        <w:tabs>
          <w:tab w:val="right" w:leader="dot" w:pos="8630"/>
        </w:tabs>
        <w:rPr>
          <w:noProof/>
          <w:lang w:val="tr-TR"/>
        </w:rPr>
      </w:pPr>
      <w:r w:rsidRPr="00DE7441">
        <w:rPr>
          <w:noProof/>
          <w:lang w:val="tr-TR"/>
        </w:rPr>
        <w:t>VI. 3 Haziran 2016 Tarih ve 2016/117 Sayılı anayasa Mahkemesi Kararı</w:t>
      </w:r>
      <w:r w:rsidRPr="00DE7441">
        <w:rPr>
          <w:noProof/>
          <w:lang w:val="tr-TR"/>
        </w:rPr>
        <w:tab/>
      </w:r>
      <w:r w:rsidR="00F93B8B" w:rsidRPr="00DE7441">
        <w:rPr>
          <w:noProof/>
          <w:lang w:val="tr-TR"/>
        </w:rPr>
        <w:fldChar w:fldCharType="begin"/>
      </w:r>
      <w:r w:rsidRPr="00DE7441">
        <w:rPr>
          <w:noProof/>
          <w:lang w:val="tr-TR"/>
        </w:rPr>
        <w:instrText xml:space="preserve"> PAGEREF _Toc341526730 \h </w:instrText>
      </w:r>
      <w:r w:rsidR="00F93B8B" w:rsidRPr="00DE7441">
        <w:rPr>
          <w:noProof/>
          <w:lang w:val="tr-TR"/>
        </w:rPr>
      </w:r>
      <w:r w:rsidR="00F93B8B" w:rsidRPr="00DE7441">
        <w:rPr>
          <w:noProof/>
          <w:lang w:val="tr-TR"/>
        </w:rPr>
        <w:fldChar w:fldCharType="separate"/>
      </w:r>
      <w:r w:rsidRPr="00DE7441">
        <w:rPr>
          <w:noProof/>
          <w:lang w:val="tr-TR"/>
        </w:rPr>
        <w:t>9</w:t>
      </w:r>
      <w:r w:rsidR="00F93B8B" w:rsidRPr="00DE7441">
        <w:rPr>
          <w:noProof/>
          <w:lang w:val="tr-TR"/>
        </w:rPr>
        <w:fldChar w:fldCharType="end"/>
      </w:r>
    </w:p>
    <w:p w:rsidR="002130BE" w:rsidRPr="00DE7441" w:rsidRDefault="002130BE">
      <w:pPr>
        <w:pStyle w:val="T1"/>
        <w:tabs>
          <w:tab w:val="right" w:leader="dot" w:pos="8630"/>
        </w:tabs>
        <w:rPr>
          <w:noProof/>
          <w:lang w:val="tr-TR"/>
        </w:rPr>
      </w:pPr>
      <w:r w:rsidRPr="00DE7441">
        <w:rPr>
          <w:noProof/>
          <w:lang w:val="tr-TR"/>
        </w:rPr>
        <w:t>VII. Analiz</w:t>
      </w:r>
      <w:r w:rsidRPr="00DE7441">
        <w:rPr>
          <w:noProof/>
          <w:lang w:val="tr-TR"/>
        </w:rPr>
        <w:tab/>
      </w:r>
      <w:r w:rsidR="00F93B8B" w:rsidRPr="00DE7441">
        <w:rPr>
          <w:noProof/>
          <w:lang w:val="tr-TR"/>
        </w:rPr>
        <w:fldChar w:fldCharType="begin"/>
      </w:r>
      <w:r w:rsidRPr="00DE7441">
        <w:rPr>
          <w:noProof/>
          <w:lang w:val="tr-TR"/>
        </w:rPr>
        <w:instrText xml:space="preserve"> PAGEREF _Toc341526731 \h </w:instrText>
      </w:r>
      <w:r w:rsidR="00F93B8B" w:rsidRPr="00DE7441">
        <w:rPr>
          <w:noProof/>
          <w:lang w:val="tr-TR"/>
        </w:rPr>
      </w:r>
      <w:r w:rsidR="00F93B8B" w:rsidRPr="00DE7441">
        <w:rPr>
          <w:noProof/>
          <w:lang w:val="tr-TR"/>
        </w:rPr>
        <w:fldChar w:fldCharType="separate"/>
      </w:r>
      <w:r w:rsidRPr="00DE7441">
        <w:rPr>
          <w:noProof/>
          <w:lang w:val="tr-TR"/>
        </w:rPr>
        <w:t>11</w:t>
      </w:r>
      <w:r w:rsidR="00F93B8B" w:rsidRPr="00DE7441">
        <w:rPr>
          <w:noProof/>
          <w:lang w:val="tr-TR"/>
        </w:rPr>
        <w:fldChar w:fldCharType="end"/>
      </w:r>
    </w:p>
    <w:p w:rsidR="002130BE" w:rsidRPr="00DE7441" w:rsidRDefault="002130BE">
      <w:pPr>
        <w:pStyle w:val="T2"/>
        <w:tabs>
          <w:tab w:val="right" w:leader="dot" w:pos="8630"/>
        </w:tabs>
        <w:rPr>
          <w:noProof/>
          <w:lang w:val="tr-TR"/>
        </w:rPr>
      </w:pPr>
      <w:r w:rsidRPr="00DE7441">
        <w:rPr>
          <w:noProof/>
          <w:lang w:val="tr-TR"/>
        </w:rPr>
        <w:t>A. Türkiye’de mevcut durumda dokunulmazlık ve ifade özgürlüğü</w:t>
      </w:r>
      <w:r w:rsidRPr="00DE7441">
        <w:rPr>
          <w:noProof/>
          <w:lang w:val="tr-TR"/>
        </w:rPr>
        <w:tab/>
      </w:r>
      <w:r w:rsidR="00F93B8B" w:rsidRPr="00DE7441">
        <w:rPr>
          <w:noProof/>
          <w:lang w:val="tr-TR"/>
        </w:rPr>
        <w:fldChar w:fldCharType="begin"/>
      </w:r>
      <w:r w:rsidRPr="00DE7441">
        <w:rPr>
          <w:noProof/>
          <w:lang w:val="tr-TR"/>
        </w:rPr>
        <w:instrText xml:space="preserve"> PAGEREF _Toc341526732 \h </w:instrText>
      </w:r>
      <w:r w:rsidR="00F93B8B" w:rsidRPr="00DE7441">
        <w:rPr>
          <w:noProof/>
          <w:lang w:val="tr-TR"/>
        </w:rPr>
      </w:r>
      <w:r w:rsidR="00F93B8B" w:rsidRPr="00DE7441">
        <w:rPr>
          <w:noProof/>
          <w:lang w:val="tr-TR"/>
        </w:rPr>
        <w:fldChar w:fldCharType="separate"/>
      </w:r>
      <w:r w:rsidRPr="00DE7441">
        <w:rPr>
          <w:noProof/>
          <w:lang w:val="tr-TR"/>
        </w:rPr>
        <w:t>11</w:t>
      </w:r>
      <w:r w:rsidR="00F93B8B" w:rsidRPr="00DE7441">
        <w:rPr>
          <w:noProof/>
          <w:lang w:val="tr-TR"/>
        </w:rPr>
        <w:fldChar w:fldCharType="end"/>
      </w:r>
    </w:p>
    <w:p w:rsidR="002130BE" w:rsidRPr="00DE7441" w:rsidRDefault="002130BE">
      <w:pPr>
        <w:pStyle w:val="T2"/>
        <w:tabs>
          <w:tab w:val="right" w:leader="dot" w:pos="8630"/>
        </w:tabs>
        <w:rPr>
          <w:noProof/>
          <w:lang w:val="tr-TR"/>
        </w:rPr>
      </w:pPr>
      <w:r w:rsidRPr="00DE7441">
        <w:rPr>
          <w:noProof/>
          <w:lang w:val="tr-TR"/>
        </w:rPr>
        <w:t>B. Yargının işleyişi</w:t>
      </w:r>
      <w:r w:rsidRPr="00DE7441">
        <w:rPr>
          <w:noProof/>
          <w:lang w:val="tr-TR"/>
        </w:rPr>
        <w:tab/>
      </w:r>
      <w:r w:rsidR="00F93B8B" w:rsidRPr="00DE7441">
        <w:rPr>
          <w:noProof/>
          <w:lang w:val="tr-TR"/>
        </w:rPr>
        <w:fldChar w:fldCharType="begin"/>
      </w:r>
      <w:r w:rsidRPr="00DE7441">
        <w:rPr>
          <w:noProof/>
          <w:lang w:val="tr-TR"/>
        </w:rPr>
        <w:instrText xml:space="preserve"> PAGEREF _Toc341526733 \h </w:instrText>
      </w:r>
      <w:r w:rsidR="00F93B8B" w:rsidRPr="00DE7441">
        <w:rPr>
          <w:noProof/>
          <w:lang w:val="tr-TR"/>
        </w:rPr>
      </w:r>
      <w:r w:rsidR="00F93B8B" w:rsidRPr="00DE7441">
        <w:rPr>
          <w:noProof/>
          <w:lang w:val="tr-TR"/>
        </w:rPr>
        <w:fldChar w:fldCharType="separate"/>
      </w:r>
      <w:r w:rsidRPr="00DE7441">
        <w:rPr>
          <w:noProof/>
          <w:lang w:val="tr-TR"/>
        </w:rPr>
        <w:t>12</w:t>
      </w:r>
      <w:r w:rsidR="00F93B8B" w:rsidRPr="00DE7441">
        <w:rPr>
          <w:noProof/>
          <w:lang w:val="tr-TR"/>
        </w:rPr>
        <w:fldChar w:fldCharType="end"/>
      </w:r>
    </w:p>
    <w:p w:rsidR="002130BE" w:rsidRPr="00DE7441" w:rsidRDefault="002130BE">
      <w:pPr>
        <w:pStyle w:val="T2"/>
        <w:tabs>
          <w:tab w:val="right" w:leader="dot" w:pos="8630"/>
        </w:tabs>
        <w:rPr>
          <w:noProof/>
          <w:lang w:val="tr-TR"/>
        </w:rPr>
      </w:pPr>
      <w:r w:rsidRPr="00DE7441">
        <w:rPr>
          <w:noProof/>
          <w:lang w:val="tr-TR"/>
        </w:rPr>
        <w:t>C. Orantılılık</w:t>
      </w:r>
      <w:r w:rsidRPr="00DE7441">
        <w:rPr>
          <w:noProof/>
          <w:lang w:val="tr-TR"/>
        </w:rPr>
        <w:tab/>
      </w:r>
      <w:r w:rsidR="00F93B8B" w:rsidRPr="00DE7441">
        <w:rPr>
          <w:noProof/>
          <w:lang w:val="tr-TR"/>
        </w:rPr>
        <w:fldChar w:fldCharType="begin"/>
      </w:r>
      <w:r w:rsidRPr="00DE7441">
        <w:rPr>
          <w:noProof/>
          <w:lang w:val="tr-TR"/>
        </w:rPr>
        <w:instrText xml:space="preserve"> PAGEREF _Toc341526734 \h </w:instrText>
      </w:r>
      <w:r w:rsidR="00F93B8B" w:rsidRPr="00DE7441">
        <w:rPr>
          <w:noProof/>
          <w:lang w:val="tr-TR"/>
        </w:rPr>
      </w:r>
      <w:r w:rsidR="00F93B8B" w:rsidRPr="00DE7441">
        <w:rPr>
          <w:noProof/>
          <w:lang w:val="tr-TR"/>
        </w:rPr>
        <w:fldChar w:fldCharType="separate"/>
      </w:r>
      <w:r w:rsidRPr="00DE7441">
        <w:rPr>
          <w:noProof/>
          <w:lang w:val="tr-TR"/>
        </w:rPr>
        <w:t>14</w:t>
      </w:r>
      <w:r w:rsidR="00F93B8B" w:rsidRPr="00DE7441">
        <w:rPr>
          <w:noProof/>
          <w:lang w:val="tr-TR"/>
        </w:rPr>
        <w:fldChar w:fldCharType="end"/>
      </w:r>
    </w:p>
    <w:p w:rsidR="002130BE" w:rsidRPr="00DE7441" w:rsidRDefault="002130BE">
      <w:pPr>
        <w:pStyle w:val="T2"/>
        <w:tabs>
          <w:tab w:val="right" w:leader="dot" w:pos="8630"/>
        </w:tabs>
        <w:rPr>
          <w:noProof/>
          <w:lang w:val="tr-TR"/>
        </w:rPr>
      </w:pPr>
      <w:r w:rsidRPr="00DE7441">
        <w:rPr>
          <w:noProof/>
          <w:lang w:val="tr-TR"/>
        </w:rPr>
        <w:t>D. Dokunulmazlıkların geçici bir Anayasa değişikliğiyle  kaldırılmasının doğan geçici niteliği</w:t>
      </w:r>
      <w:r w:rsidRPr="00DE7441">
        <w:rPr>
          <w:noProof/>
          <w:lang w:val="tr-TR"/>
        </w:rPr>
        <w:tab/>
      </w:r>
      <w:r w:rsidR="00F93B8B" w:rsidRPr="00DE7441">
        <w:rPr>
          <w:noProof/>
          <w:lang w:val="tr-TR"/>
        </w:rPr>
        <w:fldChar w:fldCharType="begin"/>
      </w:r>
      <w:r w:rsidRPr="00DE7441">
        <w:rPr>
          <w:noProof/>
          <w:lang w:val="tr-TR"/>
        </w:rPr>
        <w:instrText xml:space="preserve"> PAGEREF _Toc341526735 \h </w:instrText>
      </w:r>
      <w:r w:rsidR="00F93B8B" w:rsidRPr="00DE7441">
        <w:rPr>
          <w:noProof/>
          <w:lang w:val="tr-TR"/>
        </w:rPr>
      </w:r>
      <w:r w:rsidR="00F93B8B" w:rsidRPr="00DE7441">
        <w:rPr>
          <w:noProof/>
          <w:lang w:val="tr-TR"/>
        </w:rPr>
        <w:fldChar w:fldCharType="separate"/>
      </w:r>
      <w:r w:rsidRPr="00DE7441">
        <w:rPr>
          <w:noProof/>
          <w:lang w:val="tr-TR"/>
        </w:rPr>
        <w:t>15</w:t>
      </w:r>
      <w:r w:rsidR="00F93B8B" w:rsidRPr="00DE7441">
        <w:rPr>
          <w:noProof/>
          <w:lang w:val="tr-TR"/>
        </w:rPr>
        <w:fldChar w:fldCharType="end"/>
      </w:r>
    </w:p>
    <w:p w:rsidR="002130BE" w:rsidRPr="00DE7441" w:rsidRDefault="002130BE">
      <w:pPr>
        <w:pStyle w:val="T2"/>
        <w:tabs>
          <w:tab w:val="right" w:leader="dot" w:pos="8630"/>
        </w:tabs>
        <w:rPr>
          <w:noProof/>
          <w:lang w:val="tr-TR"/>
        </w:rPr>
      </w:pPr>
      <w:r w:rsidRPr="00DE7441">
        <w:rPr>
          <w:noProof/>
          <w:lang w:val="tr-TR"/>
        </w:rPr>
        <w:t>E. Kişisel kapsam – Şahsa yönelik mevzuat</w:t>
      </w:r>
      <w:r w:rsidRPr="00DE7441">
        <w:rPr>
          <w:noProof/>
          <w:lang w:val="tr-TR"/>
        </w:rPr>
        <w:tab/>
      </w:r>
      <w:r w:rsidR="00F93B8B" w:rsidRPr="00DE7441">
        <w:rPr>
          <w:noProof/>
          <w:lang w:val="tr-TR"/>
        </w:rPr>
        <w:fldChar w:fldCharType="begin"/>
      </w:r>
      <w:r w:rsidRPr="00DE7441">
        <w:rPr>
          <w:noProof/>
          <w:lang w:val="tr-TR"/>
        </w:rPr>
        <w:instrText xml:space="preserve"> PAGEREF _Toc341526736 \h </w:instrText>
      </w:r>
      <w:r w:rsidR="00F93B8B" w:rsidRPr="00DE7441">
        <w:rPr>
          <w:noProof/>
          <w:lang w:val="tr-TR"/>
        </w:rPr>
      </w:r>
      <w:r w:rsidR="00F93B8B" w:rsidRPr="00DE7441">
        <w:rPr>
          <w:noProof/>
          <w:lang w:val="tr-TR"/>
        </w:rPr>
        <w:fldChar w:fldCharType="separate"/>
      </w:r>
      <w:r w:rsidRPr="00DE7441">
        <w:rPr>
          <w:noProof/>
          <w:lang w:val="tr-TR"/>
        </w:rPr>
        <w:t>16</w:t>
      </w:r>
      <w:r w:rsidR="00F93B8B" w:rsidRPr="00DE7441">
        <w:rPr>
          <w:noProof/>
          <w:lang w:val="tr-TR"/>
        </w:rPr>
        <w:fldChar w:fldCharType="end"/>
      </w:r>
    </w:p>
    <w:p w:rsidR="002130BE" w:rsidRPr="00DE7441" w:rsidRDefault="002130BE">
      <w:pPr>
        <w:pStyle w:val="T2"/>
        <w:tabs>
          <w:tab w:val="right" w:leader="dot" w:pos="8630"/>
        </w:tabs>
        <w:rPr>
          <w:noProof/>
          <w:lang w:val="tr-TR"/>
        </w:rPr>
      </w:pPr>
      <w:r w:rsidRPr="00DE7441">
        <w:rPr>
          <w:noProof/>
          <w:lang w:val="tr-TR"/>
        </w:rPr>
        <w:t>F. Eşitlik</w:t>
      </w:r>
      <w:r w:rsidRPr="00DE7441">
        <w:rPr>
          <w:noProof/>
          <w:lang w:val="tr-TR"/>
        </w:rPr>
        <w:tab/>
      </w:r>
      <w:r w:rsidR="00F93B8B" w:rsidRPr="00DE7441">
        <w:rPr>
          <w:noProof/>
          <w:lang w:val="tr-TR"/>
        </w:rPr>
        <w:fldChar w:fldCharType="begin"/>
      </w:r>
      <w:r w:rsidRPr="00DE7441">
        <w:rPr>
          <w:noProof/>
          <w:lang w:val="tr-TR"/>
        </w:rPr>
        <w:instrText xml:space="preserve"> PAGEREF _Toc341526737 \h </w:instrText>
      </w:r>
      <w:r w:rsidR="00F93B8B" w:rsidRPr="00DE7441">
        <w:rPr>
          <w:noProof/>
          <w:lang w:val="tr-TR"/>
        </w:rPr>
      </w:r>
      <w:r w:rsidR="00F93B8B" w:rsidRPr="00DE7441">
        <w:rPr>
          <w:noProof/>
          <w:lang w:val="tr-TR"/>
        </w:rPr>
        <w:fldChar w:fldCharType="separate"/>
      </w:r>
      <w:r w:rsidRPr="00DE7441">
        <w:rPr>
          <w:noProof/>
          <w:lang w:val="tr-TR"/>
        </w:rPr>
        <w:t>16</w:t>
      </w:r>
      <w:r w:rsidR="00F93B8B" w:rsidRPr="00DE7441">
        <w:rPr>
          <w:noProof/>
          <w:lang w:val="tr-TR"/>
        </w:rPr>
        <w:fldChar w:fldCharType="end"/>
      </w:r>
    </w:p>
    <w:p w:rsidR="002130BE" w:rsidRPr="00DE7441" w:rsidRDefault="002130BE">
      <w:pPr>
        <w:pStyle w:val="T1"/>
        <w:tabs>
          <w:tab w:val="right" w:leader="dot" w:pos="8630"/>
        </w:tabs>
        <w:rPr>
          <w:noProof/>
          <w:lang w:val="tr-TR"/>
        </w:rPr>
      </w:pPr>
      <w:r w:rsidRPr="00DE7441">
        <w:rPr>
          <w:noProof/>
          <w:lang w:val="tr-TR"/>
        </w:rPr>
        <w:t>VIII. Sonuçlar </w:t>
      </w:r>
      <w:r w:rsidRPr="00DE7441">
        <w:rPr>
          <w:noProof/>
          <w:lang w:val="tr-TR"/>
        </w:rPr>
        <w:tab/>
      </w:r>
      <w:r w:rsidR="00F93B8B" w:rsidRPr="00DE7441">
        <w:rPr>
          <w:noProof/>
          <w:lang w:val="tr-TR"/>
        </w:rPr>
        <w:fldChar w:fldCharType="begin"/>
      </w:r>
      <w:r w:rsidRPr="00DE7441">
        <w:rPr>
          <w:noProof/>
          <w:lang w:val="tr-TR"/>
        </w:rPr>
        <w:instrText xml:space="preserve"> PAGEREF _Toc341526738 \h </w:instrText>
      </w:r>
      <w:r w:rsidR="00F93B8B" w:rsidRPr="00DE7441">
        <w:rPr>
          <w:noProof/>
          <w:lang w:val="tr-TR"/>
        </w:rPr>
      </w:r>
      <w:r w:rsidR="00F93B8B" w:rsidRPr="00DE7441">
        <w:rPr>
          <w:noProof/>
          <w:lang w:val="tr-TR"/>
        </w:rPr>
        <w:fldChar w:fldCharType="separate"/>
      </w:r>
      <w:r w:rsidRPr="00DE7441">
        <w:rPr>
          <w:noProof/>
          <w:lang w:val="tr-TR"/>
        </w:rPr>
        <w:t>16</w:t>
      </w:r>
      <w:r w:rsidR="00F93B8B" w:rsidRPr="00DE7441">
        <w:rPr>
          <w:noProof/>
          <w:lang w:val="tr-TR"/>
        </w:rPr>
        <w:fldChar w:fldCharType="end"/>
      </w:r>
    </w:p>
    <w:p w:rsidR="004B0E89" w:rsidRPr="00DE7441" w:rsidRDefault="00F93B8B" w:rsidP="00AC5906">
      <w:pPr>
        <w:widowControl w:val="0"/>
        <w:autoSpaceDE w:val="0"/>
        <w:autoSpaceDN w:val="0"/>
        <w:adjustRightInd w:val="0"/>
        <w:spacing w:after="240"/>
        <w:rPr>
          <w:rFonts w:ascii="Calibri" w:hAnsi="Calibri" w:cs="Times"/>
          <w:b/>
          <w:lang w:val="tr-TR"/>
        </w:rPr>
      </w:pPr>
      <w:r w:rsidRPr="00DE7441">
        <w:rPr>
          <w:rFonts w:ascii="Calibri" w:hAnsi="Calibri" w:cs="Times"/>
          <w:b/>
          <w:lang w:val="tr-TR"/>
        </w:rPr>
        <w:fldChar w:fldCharType="end"/>
      </w:r>
    </w:p>
    <w:p w:rsidR="004B0E89" w:rsidRPr="00DE7441" w:rsidRDefault="004B0E89" w:rsidP="00AC5906">
      <w:pPr>
        <w:widowControl w:val="0"/>
        <w:autoSpaceDE w:val="0"/>
        <w:autoSpaceDN w:val="0"/>
        <w:adjustRightInd w:val="0"/>
        <w:spacing w:after="240"/>
        <w:rPr>
          <w:rFonts w:ascii="Calibri" w:hAnsi="Calibri" w:cs="Times"/>
          <w:b/>
          <w:lang w:val="tr-TR"/>
        </w:rPr>
      </w:pPr>
    </w:p>
    <w:p w:rsidR="004B0E89" w:rsidRPr="00DE7441" w:rsidRDefault="004B0E89">
      <w:pPr>
        <w:rPr>
          <w:rFonts w:ascii="Calibri" w:hAnsi="Calibri" w:cs="Times"/>
          <w:b/>
          <w:lang w:val="tr-TR"/>
        </w:rPr>
      </w:pPr>
      <w:r w:rsidRPr="00DE7441">
        <w:rPr>
          <w:rFonts w:ascii="Calibri" w:hAnsi="Calibri" w:cs="Times"/>
          <w:b/>
          <w:lang w:val="tr-TR"/>
        </w:rPr>
        <w:br w:type="page"/>
      </w:r>
    </w:p>
    <w:p w:rsidR="004B0E89" w:rsidRPr="00DE7441" w:rsidRDefault="004B0E89" w:rsidP="00AC5906">
      <w:pPr>
        <w:widowControl w:val="0"/>
        <w:autoSpaceDE w:val="0"/>
        <w:autoSpaceDN w:val="0"/>
        <w:adjustRightInd w:val="0"/>
        <w:spacing w:after="240"/>
        <w:rPr>
          <w:rFonts w:ascii="Calibri" w:hAnsi="Calibri" w:cs="Times"/>
          <w:b/>
          <w:lang w:val="tr-TR"/>
        </w:rPr>
      </w:pPr>
    </w:p>
    <w:p w:rsidR="00AC5906" w:rsidRPr="00DE7441" w:rsidRDefault="00AC5906" w:rsidP="002130BE">
      <w:pPr>
        <w:pStyle w:val="Balk1"/>
      </w:pPr>
      <w:bookmarkStart w:id="1" w:name="_Toc341526723"/>
      <w:r w:rsidRPr="00DE7441">
        <w:t>I. Giriş</w:t>
      </w:r>
      <w:bookmarkEnd w:id="1"/>
    </w:p>
    <w:p w:rsidR="004F7908" w:rsidRDefault="004F7908" w:rsidP="00AC5906">
      <w:pPr>
        <w:widowControl w:val="0"/>
        <w:autoSpaceDE w:val="0"/>
        <w:autoSpaceDN w:val="0"/>
        <w:adjustRightInd w:val="0"/>
        <w:spacing w:after="240"/>
        <w:rPr>
          <w:rFonts w:ascii="Calibri" w:hAnsi="Calibri" w:cs="Arial"/>
          <w:sz w:val="22"/>
          <w:szCs w:val="22"/>
          <w:lang w:val="tr-TR"/>
        </w:rPr>
      </w:pPr>
    </w:p>
    <w:p w:rsidR="00AC5906" w:rsidRPr="00DE7441" w:rsidRDefault="00AC5906" w:rsidP="00AC5906">
      <w:pPr>
        <w:widowControl w:val="0"/>
        <w:autoSpaceDE w:val="0"/>
        <w:autoSpaceDN w:val="0"/>
        <w:adjustRightInd w:val="0"/>
        <w:spacing w:after="240"/>
        <w:rPr>
          <w:rFonts w:ascii="Calibri" w:hAnsi="Calibri" w:cs="Times"/>
          <w:sz w:val="22"/>
          <w:szCs w:val="22"/>
          <w:lang w:val="tr-TR"/>
        </w:rPr>
      </w:pPr>
      <w:proofErr w:type="gramStart"/>
      <w:r w:rsidRPr="00DE7441">
        <w:rPr>
          <w:rFonts w:ascii="Calibri" w:hAnsi="Calibri" w:cs="Arial"/>
          <w:sz w:val="22"/>
          <w:szCs w:val="22"/>
          <w:lang w:val="tr-TR"/>
        </w:rPr>
        <w:t xml:space="preserve">1.Avrupa Konseyi Parlamenterler Meclisi’nin </w:t>
      </w:r>
      <w:r w:rsidR="00CF2854" w:rsidRPr="00DE7441">
        <w:rPr>
          <w:rFonts w:ascii="Calibri" w:hAnsi="Calibri" w:cs="Arial"/>
          <w:sz w:val="22"/>
          <w:szCs w:val="22"/>
          <w:lang w:val="tr-TR"/>
        </w:rPr>
        <w:t>‘Milletvekili dokunulmazlığı: Parlamenterler Meclisi üyelerine tanınan ayrıcalık ve dokunulmazlıkların kapsamı ile ilgili karşılaş</w:t>
      </w:r>
      <w:r w:rsidR="00E373B5" w:rsidRPr="00DE7441">
        <w:rPr>
          <w:rFonts w:ascii="Calibri" w:hAnsi="Calibri" w:cs="Arial"/>
          <w:sz w:val="22"/>
          <w:szCs w:val="22"/>
          <w:lang w:val="tr-TR"/>
        </w:rPr>
        <w:t>ı</w:t>
      </w:r>
      <w:r w:rsidR="00CF2854" w:rsidRPr="00DE7441">
        <w:rPr>
          <w:rFonts w:ascii="Calibri" w:hAnsi="Calibri" w:cs="Arial"/>
          <w:sz w:val="22"/>
          <w:szCs w:val="22"/>
          <w:lang w:val="tr-TR"/>
        </w:rPr>
        <w:t xml:space="preserve">lan zorluklar’ başlıklı </w:t>
      </w:r>
      <w:r w:rsidRPr="00DE7441">
        <w:rPr>
          <w:rFonts w:ascii="Calibri" w:hAnsi="Calibri" w:cs="Arial"/>
          <w:sz w:val="22"/>
          <w:szCs w:val="22"/>
          <w:lang w:val="tr-TR"/>
        </w:rPr>
        <w:t>2127 (2016)</w:t>
      </w:r>
      <w:r w:rsidR="00C75136" w:rsidRPr="00DE7441">
        <w:rPr>
          <w:rFonts w:ascii="Calibri" w:hAnsi="Calibri" w:cs="Arial"/>
          <w:sz w:val="22"/>
          <w:szCs w:val="22"/>
          <w:lang w:val="tr-TR"/>
        </w:rPr>
        <w:t xml:space="preserve">1 Sayılı Kararına </w:t>
      </w:r>
      <w:r w:rsidR="00CF2854" w:rsidRPr="00DE7441">
        <w:rPr>
          <w:rFonts w:ascii="Calibri" w:hAnsi="Calibri" w:cs="Arial"/>
          <w:sz w:val="22"/>
          <w:szCs w:val="22"/>
          <w:lang w:val="tr-TR"/>
        </w:rPr>
        <w:t>dayanarak</w:t>
      </w:r>
      <w:r w:rsidR="00DE7441">
        <w:rPr>
          <w:rStyle w:val="DipnotBavurusu"/>
          <w:rFonts w:ascii="Calibri" w:hAnsi="Calibri" w:cs="Arial"/>
          <w:sz w:val="22"/>
          <w:szCs w:val="22"/>
          <w:lang w:val="tr-TR"/>
        </w:rPr>
        <w:footnoteReference w:id="1"/>
      </w:r>
      <w:r w:rsidR="00CF2854" w:rsidRPr="00DE7441">
        <w:rPr>
          <w:rFonts w:ascii="Calibri" w:hAnsi="Calibri" w:cs="Arial"/>
          <w:sz w:val="22"/>
          <w:szCs w:val="22"/>
          <w:lang w:val="tr-TR"/>
        </w:rPr>
        <w:t xml:space="preserve">, </w:t>
      </w:r>
      <w:r w:rsidR="002A4F2C" w:rsidRPr="00DE7441">
        <w:rPr>
          <w:rFonts w:ascii="Calibri" w:hAnsi="Calibri" w:cs="Arial"/>
          <w:sz w:val="22"/>
          <w:szCs w:val="22"/>
          <w:lang w:val="tr-TR"/>
        </w:rPr>
        <w:t xml:space="preserve">Meclisi Başkanı Sayın </w:t>
      </w:r>
      <w:proofErr w:type="spellStart"/>
      <w:r w:rsidR="002A4F2C" w:rsidRPr="00DE7441">
        <w:rPr>
          <w:rFonts w:ascii="Calibri" w:hAnsi="Calibri" w:cs="Arial"/>
          <w:sz w:val="22"/>
          <w:szCs w:val="22"/>
          <w:lang w:val="tr-TR"/>
        </w:rPr>
        <w:t>Pedro</w:t>
      </w:r>
      <w:proofErr w:type="spellEnd"/>
      <w:r w:rsidR="002A4F2C" w:rsidRPr="00DE7441">
        <w:rPr>
          <w:rFonts w:ascii="Calibri" w:hAnsi="Calibri" w:cs="Arial"/>
          <w:sz w:val="22"/>
          <w:szCs w:val="22"/>
          <w:lang w:val="tr-TR"/>
        </w:rPr>
        <w:t xml:space="preserve"> </w:t>
      </w:r>
      <w:proofErr w:type="spellStart"/>
      <w:r w:rsidR="002A4F2C" w:rsidRPr="00DE7441">
        <w:rPr>
          <w:rFonts w:ascii="Calibri" w:hAnsi="Calibri" w:cs="Arial"/>
          <w:sz w:val="22"/>
          <w:szCs w:val="22"/>
          <w:lang w:val="tr-TR"/>
        </w:rPr>
        <w:t>Agramunt</w:t>
      </w:r>
      <w:proofErr w:type="spellEnd"/>
      <w:r w:rsidR="002A4F2C" w:rsidRPr="00DE7441">
        <w:rPr>
          <w:rFonts w:ascii="Calibri" w:hAnsi="Calibri" w:cs="Arial"/>
          <w:sz w:val="22"/>
          <w:szCs w:val="22"/>
          <w:lang w:val="tr-TR"/>
        </w:rPr>
        <w:t xml:space="preserve">, </w:t>
      </w:r>
      <w:r w:rsidR="00CF2854" w:rsidRPr="00DE7441">
        <w:rPr>
          <w:rFonts w:ascii="Calibri" w:hAnsi="Calibri" w:cs="Arial"/>
          <w:sz w:val="22"/>
          <w:szCs w:val="22"/>
          <w:lang w:val="tr-TR"/>
        </w:rPr>
        <w:t>1 Temmuz 2016 tarihli yazısıyla, Türkiye Büyük Millet Meclisi (bundan böyle Meclis veya Parlamento) üyelerinin dokunulmazlığını güvence altına alan Anayasa’nın</w:t>
      </w:r>
      <w:r w:rsidR="00B867ED">
        <w:rPr>
          <w:rFonts w:ascii="Calibri" w:hAnsi="Calibri" w:cs="Arial"/>
          <w:sz w:val="22"/>
          <w:szCs w:val="22"/>
          <w:lang w:val="tr-TR"/>
        </w:rPr>
        <w:t xml:space="preserve"> </w:t>
      </w:r>
      <w:r w:rsidR="00CF2854" w:rsidRPr="00DE7441">
        <w:rPr>
          <w:rFonts w:ascii="Calibri" w:hAnsi="Calibri" w:cs="Arial"/>
          <w:sz w:val="22"/>
          <w:szCs w:val="22"/>
          <w:lang w:val="tr-TR"/>
        </w:rPr>
        <w:t>83. Maddesin</w:t>
      </w:r>
      <w:r w:rsidR="002A4F2C" w:rsidRPr="00DE7441">
        <w:rPr>
          <w:rFonts w:ascii="Calibri" w:hAnsi="Calibri" w:cs="Arial"/>
          <w:sz w:val="22"/>
          <w:szCs w:val="22"/>
          <w:lang w:val="tr-TR"/>
        </w:rPr>
        <w:t xml:space="preserve">in geçici bir hükümle askıya alınması ile ilgili </w:t>
      </w:r>
      <w:r w:rsidR="00CF2854" w:rsidRPr="00DE7441">
        <w:rPr>
          <w:rFonts w:ascii="Calibri" w:hAnsi="Calibri" w:cs="Arial"/>
          <w:sz w:val="22"/>
          <w:szCs w:val="22"/>
          <w:lang w:val="tr-TR"/>
        </w:rPr>
        <w:t xml:space="preserve">Venedik </w:t>
      </w:r>
      <w:r w:rsidR="00DE7441" w:rsidRPr="00DE7441">
        <w:rPr>
          <w:rFonts w:ascii="Calibri" w:hAnsi="Calibri" w:cs="Arial"/>
          <w:sz w:val="22"/>
          <w:szCs w:val="22"/>
          <w:lang w:val="tr-TR"/>
        </w:rPr>
        <w:t>Komisyonu’nun</w:t>
      </w:r>
      <w:r w:rsidR="002A4F2C" w:rsidRPr="00DE7441">
        <w:rPr>
          <w:rFonts w:ascii="Calibri" w:hAnsi="Calibri" w:cs="Arial"/>
          <w:sz w:val="22"/>
          <w:szCs w:val="22"/>
          <w:lang w:val="tr-TR"/>
        </w:rPr>
        <w:t xml:space="preserve"> görüşünü talep etmiştir</w:t>
      </w:r>
      <w:r w:rsidRPr="00DE7441">
        <w:rPr>
          <w:rFonts w:ascii="Calibri" w:hAnsi="Calibri" w:cs="Arial"/>
          <w:sz w:val="22"/>
          <w:szCs w:val="22"/>
          <w:lang w:val="tr-TR"/>
        </w:rPr>
        <w:t>.</w:t>
      </w:r>
      <w:proofErr w:type="gramEnd"/>
    </w:p>
    <w:p w:rsidR="00AC5906" w:rsidRPr="00DE7441" w:rsidRDefault="00AC5906" w:rsidP="00AC5906">
      <w:pPr>
        <w:widowControl w:val="0"/>
        <w:autoSpaceDE w:val="0"/>
        <w:autoSpaceDN w:val="0"/>
        <w:adjustRightInd w:val="0"/>
        <w:spacing w:after="240"/>
        <w:rPr>
          <w:rFonts w:ascii="Calibri" w:hAnsi="Calibri" w:cs="Times"/>
          <w:sz w:val="22"/>
          <w:szCs w:val="22"/>
          <w:lang w:val="tr-TR"/>
        </w:rPr>
      </w:pPr>
      <w:r w:rsidRPr="00DE7441">
        <w:rPr>
          <w:rFonts w:ascii="Calibri" w:hAnsi="Calibri" w:cs="Arial"/>
          <w:sz w:val="22"/>
          <w:szCs w:val="22"/>
          <w:lang w:val="tr-TR"/>
        </w:rPr>
        <w:t xml:space="preserve">2. </w:t>
      </w:r>
      <w:r w:rsidR="002A4F2C" w:rsidRPr="00DE7441">
        <w:rPr>
          <w:rFonts w:ascii="Calibri" w:hAnsi="Calibri" w:cs="Arial"/>
          <w:sz w:val="22"/>
          <w:szCs w:val="22"/>
          <w:lang w:val="tr-TR"/>
        </w:rPr>
        <w:t>Komisyon, bu görüş</w:t>
      </w:r>
      <w:r w:rsidR="003E23F6" w:rsidRPr="00DE7441">
        <w:rPr>
          <w:rFonts w:ascii="Calibri" w:hAnsi="Calibri" w:cs="Arial"/>
          <w:sz w:val="22"/>
          <w:szCs w:val="22"/>
          <w:lang w:val="tr-TR"/>
        </w:rPr>
        <w:t>ün hazırlanmasında</w:t>
      </w:r>
      <w:r w:rsidR="002A4F2C" w:rsidRPr="00DE7441">
        <w:rPr>
          <w:rFonts w:ascii="Calibri" w:hAnsi="Calibri" w:cs="Arial"/>
          <w:sz w:val="22"/>
          <w:szCs w:val="22"/>
          <w:lang w:val="tr-TR"/>
        </w:rPr>
        <w:t xml:space="preserve"> </w:t>
      </w:r>
      <w:proofErr w:type="gramStart"/>
      <w:r w:rsidR="002A4F2C" w:rsidRPr="00DE7441">
        <w:rPr>
          <w:rFonts w:ascii="Calibri" w:hAnsi="Calibri" w:cs="Arial"/>
          <w:sz w:val="22"/>
          <w:szCs w:val="22"/>
          <w:lang w:val="tr-TR"/>
        </w:rPr>
        <w:t>raportör</w:t>
      </w:r>
      <w:proofErr w:type="gramEnd"/>
      <w:r w:rsidR="002A4F2C" w:rsidRPr="00DE7441">
        <w:rPr>
          <w:rFonts w:ascii="Calibri" w:hAnsi="Calibri" w:cs="Arial"/>
          <w:sz w:val="22"/>
          <w:szCs w:val="22"/>
          <w:lang w:val="tr-TR"/>
        </w:rPr>
        <w:t xml:space="preserve"> </w:t>
      </w:r>
      <w:r w:rsidR="003E23F6" w:rsidRPr="00DE7441">
        <w:rPr>
          <w:rFonts w:ascii="Calibri" w:hAnsi="Calibri" w:cs="Arial"/>
          <w:sz w:val="22"/>
          <w:szCs w:val="22"/>
          <w:lang w:val="tr-TR"/>
        </w:rPr>
        <w:t>olarak</w:t>
      </w:r>
      <w:r w:rsidR="002A4F2C" w:rsidRPr="00DE7441">
        <w:rPr>
          <w:rFonts w:ascii="Calibri" w:hAnsi="Calibri" w:cs="Arial"/>
          <w:sz w:val="22"/>
          <w:szCs w:val="22"/>
          <w:lang w:val="tr-TR"/>
        </w:rPr>
        <w:t xml:space="preserve"> Sayın </w:t>
      </w:r>
      <w:r w:rsidRPr="00DE7441">
        <w:rPr>
          <w:rFonts w:ascii="Calibri" w:hAnsi="Calibri" w:cs="Arial"/>
          <w:sz w:val="22"/>
          <w:szCs w:val="22"/>
          <w:lang w:val="tr-TR"/>
        </w:rPr>
        <w:t xml:space="preserve">Michael </w:t>
      </w:r>
      <w:proofErr w:type="spellStart"/>
      <w:r w:rsidRPr="00DE7441">
        <w:rPr>
          <w:rFonts w:ascii="Calibri" w:hAnsi="Calibri" w:cs="Arial"/>
          <w:sz w:val="22"/>
          <w:szCs w:val="22"/>
          <w:lang w:val="tr-TR"/>
        </w:rPr>
        <w:t>Frendo</w:t>
      </w:r>
      <w:proofErr w:type="spellEnd"/>
      <w:r w:rsidRPr="00DE7441">
        <w:rPr>
          <w:rFonts w:ascii="Calibri" w:hAnsi="Calibri" w:cs="Arial"/>
          <w:sz w:val="22"/>
          <w:szCs w:val="22"/>
          <w:lang w:val="tr-TR"/>
        </w:rPr>
        <w:t xml:space="preserve">, </w:t>
      </w:r>
      <w:r w:rsidR="002A4F2C" w:rsidRPr="00DE7441">
        <w:rPr>
          <w:rFonts w:ascii="Calibri" w:hAnsi="Calibri" w:cs="Arial"/>
          <w:sz w:val="22"/>
          <w:szCs w:val="22"/>
          <w:lang w:val="tr-TR"/>
        </w:rPr>
        <w:t>Sayın</w:t>
      </w:r>
      <w:r w:rsidRPr="00DE7441">
        <w:rPr>
          <w:rFonts w:ascii="Calibri" w:hAnsi="Calibri" w:cs="Arial"/>
          <w:sz w:val="22"/>
          <w:szCs w:val="22"/>
          <w:lang w:val="tr-TR"/>
        </w:rPr>
        <w:t xml:space="preserve"> Dan </w:t>
      </w:r>
      <w:proofErr w:type="spellStart"/>
      <w:r w:rsidRPr="00DE7441">
        <w:rPr>
          <w:rFonts w:ascii="Calibri" w:hAnsi="Calibri" w:cs="Arial"/>
          <w:sz w:val="22"/>
          <w:szCs w:val="22"/>
          <w:lang w:val="tr-TR"/>
        </w:rPr>
        <w:t>Meridor</w:t>
      </w:r>
      <w:proofErr w:type="spellEnd"/>
      <w:r w:rsidRPr="00DE7441">
        <w:rPr>
          <w:rFonts w:ascii="Calibri" w:hAnsi="Calibri" w:cs="Arial"/>
          <w:sz w:val="22"/>
          <w:szCs w:val="22"/>
          <w:lang w:val="tr-TR"/>
        </w:rPr>
        <w:t xml:space="preserve">, </w:t>
      </w:r>
      <w:r w:rsidR="002A4F2C" w:rsidRPr="00DE7441">
        <w:rPr>
          <w:rFonts w:ascii="Calibri" w:hAnsi="Calibri" w:cs="Arial"/>
          <w:sz w:val="22"/>
          <w:szCs w:val="22"/>
          <w:lang w:val="tr-TR"/>
        </w:rPr>
        <w:t>Sayın</w:t>
      </w:r>
      <w:r w:rsidRPr="00DE7441">
        <w:rPr>
          <w:rFonts w:ascii="Calibri" w:hAnsi="Calibri" w:cs="Arial"/>
          <w:sz w:val="22"/>
          <w:szCs w:val="22"/>
          <w:lang w:val="tr-TR"/>
        </w:rPr>
        <w:t xml:space="preserve"> </w:t>
      </w:r>
      <w:proofErr w:type="spellStart"/>
      <w:r w:rsidRPr="00DE7441">
        <w:rPr>
          <w:rFonts w:ascii="Calibri" w:hAnsi="Calibri" w:cs="Arial"/>
          <w:sz w:val="22"/>
          <w:szCs w:val="22"/>
          <w:lang w:val="tr-TR"/>
        </w:rPr>
        <w:t>Jasna</w:t>
      </w:r>
      <w:proofErr w:type="spellEnd"/>
      <w:r w:rsidRPr="00DE7441">
        <w:rPr>
          <w:rFonts w:ascii="Calibri" w:hAnsi="Calibri" w:cs="Arial"/>
          <w:sz w:val="22"/>
          <w:szCs w:val="22"/>
          <w:lang w:val="tr-TR"/>
        </w:rPr>
        <w:t xml:space="preserve"> </w:t>
      </w:r>
      <w:proofErr w:type="spellStart"/>
      <w:r w:rsidRPr="00DE7441">
        <w:rPr>
          <w:rFonts w:ascii="Calibri" w:hAnsi="Calibri" w:cs="Arial"/>
          <w:sz w:val="22"/>
          <w:szCs w:val="22"/>
          <w:lang w:val="tr-TR"/>
        </w:rPr>
        <w:t>Omejec</w:t>
      </w:r>
      <w:proofErr w:type="spellEnd"/>
      <w:r w:rsidRPr="00DE7441">
        <w:rPr>
          <w:rFonts w:ascii="Calibri" w:hAnsi="Calibri" w:cs="Arial"/>
          <w:sz w:val="22"/>
          <w:szCs w:val="22"/>
          <w:lang w:val="tr-TR"/>
        </w:rPr>
        <w:t xml:space="preserve">, </w:t>
      </w:r>
      <w:r w:rsidR="002A4F2C" w:rsidRPr="00DE7441">
        <w:rPr>
          <w:rFonts w:ascii="Calibri" w:hAnsi="Calibri" w:cs="Arial"/>
          <w:sz w:val="22"/>
          <w:szCs w:val="22"/>
          <w:lang w:val="tr-TR"/>
        </w:rPr>
        <w:t>Sayın</w:t>
      </w:r>
      <w:r w:rsidRPr="00DE7441">
        <w:rPr>
          <w:rFonts w:ascii="Calibri" w:hAnsi="Calibri" w:cs="Arial"/>
          <w:sz w:val="22"/>
          <w:szCs w:val="22"/>
          <w:lang w:val="tr-TR"/>
        </w:rPr>
        <w:t xml:space="preserve"> Jean- </w:t>
      </w:r>
      <w:proofErr w:type="spellStart"/>
      <w:r w:rsidRPr="00DE7441">
        <w:rPr>
          <w:rFonts w:ascii="Calibri" w:hAnsi="Calibri" w:cs="Arial"/>
          <w:sz w:val="22"/>
          <w:szCs w:val="22"/>
          <w:lang w:val="tr-TR"/>
        </w:rPr>
        <w:t>Claude</w:t>
      </w:r>
      <w:proofErr w:type="spellEnd"/>
      <w:r w:rsidRPr="00DE7441">
        <w:rPr>
          <w:rFonts w:ascii="Calibri" w:hAnsi="Calibri" w:cs="Arial"/>
          <w:sz w:val="22"/>
          <w:szCs w:val="22"/>
          <w:lang w:val="tr-TR"/>
        </w:rPr>
        <w:t xml:space="preserve"> </w:t>
      </w:r>
      <w:proofErr w:type="spellStart"/>
      <w:r w:rsidRPr="00DE7441">
        <w:rPr>
          <w:rFonts w:ascii="Calibri" w:hAnsi="Calibri" w:cs="Arial"/>
          <w:sz w:val="22"/>
          <w:szCs w:val="22"/>
          <w:lang w:val="tr-TR"/>
        </w:rPr>
        <w:t>Scholsem</w:t>
      </w:r>
      <w:proofErr w:type="spellEnd"/>
      <w:r w:rsidRPr="00DE7441">
        <w:rPr>
          <w:rFonts w:ascii="Calibri" w:hAnsi="Calibri" w:cs="Arial"/>
          <w:sz w:val="22"/>
          <w:szCs w:val="22"/>
          <w:lang w:val="tr-TR"/>
        </w:rPr>
        <w:t xml:space="preserve"> </w:t>
      </w:r>
      <w:r w:rsidR="002A4F2C" w:rsidRPr="00DE7441">
        <w:rPr>
          <w:rFonts w:ascii="Calibri" w:hAnsi="Calibri" w:cs="Arial"/>
          <w:sz w:val="22"/>
          <w:szCs w:val="22"/>
          <w:lang w:val="tr-TR"/>
        </w:rPr>
        <w:t>ve Sayın</w:t>
      </w:r>
      <w:r w:rsidRPr="00DE7441">
        <w:rPr>
          <w:rFonts w:ascii="Calibri" w:hAnsi="Calibri" w:cs="Arial"/>
          <w:sz w:val="22"/>
          <w:szCs w:val="22"/>
          <w:lang w:val="tr-TR"/>
        </w:rPr>
        <w:t xml:space="preserve"> </w:t>
      </w:r>
      <w:proofErr w:type="spellStart"/>
      <w:r w:rsidRPr="00DE7441">
        <w:rPr>
          <w:rFonts w:ascii="Calibri" w:hAnsi="Calibri" w:cs="Arial"/>
          <w:sz w:val="22"/>
          <w:szCs w:val="22"/>
          <w:lang w:val="tr-TR"/>
        </w:rPr>
        <w:t>Kaarlo</w:t>
      </w:r>
      <w:proofErr w:type="spellEnd"/>
      <w:r w:rsidRPr="00DE7441">
        <w:rPr>
          <w:rFonts w:ascii="Calibri" w:hAnsi="Calibri" w:cs="Arial"/>
          <w:sz w:val="22"/>
          <w:szCs w:val="22"/>
          <w:lang w:val="tr-TR"/>
        </w:rPr>
        <w:t xml:space="preserve"> </w:t>
      </w:r>
      <w:proofErr w:type="spellStart"/>
      <w:r w:rsidRPr="00DE7441">
        <w:rPr>
          <w:rFonts w:ascii="Calibri" w:hAnsi="Calibri" w:cs="Arial"/>
          <w:sz w:val="22"/>
          <w:szCs w:val="22"/>
          <w:lang w:val="tr-TR"/>
        </w:rPr>
        <w:t>Tuori</w:t>
      </w:r>
      <w:r w:rsidR="002A4F2C" w:rsidRPr="00DE7441">
        <w:rPr>
          <w:rFonts w:ascii="Calibri" w:hAnsi="Calibri" w:cs="Arial"/>
          <w:sz w:val="22"/>
          <w:szCs w:val="22"/>
          <w:lang w:val="tr-TR"/>
        </w:rPr>
        <w:t>’yi</w:t>
      </w:r>
      <w:proofErr w:type="spellEnd"/>
      <w:r w:rsidR="002A4F2C" w:rsidRPr="00DE7441">
        <w:rPr>
          <w:rFonts w:ascii="Calibri" w:hAnsi="Calibri" w:cs="Arial"/>
          <w:sz w:val="22"/>
          <w:szCs w:val="22"/>
          <w:lang w:val="tr-TR"/>
        </w:rPr>
        <w:t xml:space="preserve"> davet etmiştir</w:t>
      </w:r>
      <w:r w:rsidRPr="00DE7441">
        <w:rPr>
          <w:rFonts w:ascii="Calibri" w:hAnsi="Calibri" w:cs="Arial"/>
          <w:sz w:val="22"/>
          <w:szCs w:val="22"/>
          <w:lang w:val="tr-TR"/>
        </w:rPr>
        <w:t>.</w:t>
      </w:r>
    </w:p>
    <w:p w:rsidR="00AC5906" w:rsidRPr="00DE7441" w:rsidRDefault="00AC5906" w:rsidP="00AC5906">
      <w:pPr>
        <w:widowControl w:val="0"/>
        <w:autoSpaceDE w:val="0"/>
        <w:autoSpaceDN w:val="0"/>
        <w:adjustRightInd w:val="0"/>
        <w:spacing w:after="240"/>
        <w:rPr>
          <w:rFonts w:ascii="Calibri" w:hAnsi="Calibri" w:cs="Times"/>
          <w:sz w:val="22"/>
          <w:szCs w:val="22"/>
          <w:lang w:val="tr-TR"/>
        </w:rPr>
      </w:pPr>
      <w:r w:rsidRPr="00DE7441">
        <w:rPr>
          <w:rFonts w:ascii="Calibri" w:hAnsi="Calibri" w:cs="Arial"/>
          <w:sz w:val="22"/>
          <w:szCs w:val="22"/>
          <w:lang w:val="tr-TR"/>
        </w:rPr>
        <w:t xml:space="preserve">3. </w:t>
      </w:r>
      <w:r w:rsidR="003E23F6" w:rsidRPr="00DE7441">
        <w:rPr>
          <w:rFonts w:ascii="Calibri" w:hAnsi="Calibri" w:cs="Arial"/>
          <w:sz w:val="22"/>
          <w:szCs w:val="22"/>
          <w:lang w:val="tr-TR"/>
        </w:rPr>
        <w:t xml:space="preserve">Sayın </w:t>
      </w:r>
      <w:proofErr w:type="spellStart"/>
      <w:r w:rsidR="003E23F6" w:rsidRPr="00DE7441">
        <w:rPr>
          <w:rFonts w:ascii="Calibri" w:hAnsi="Calibri" w:cs="Arial"/>
          <w:sz w:val="22"/>
          <w:szCs w:val="22"/>
          <w:lang w:val="tr-TR"/>
        </w:rPr>
        <w:t>Meridor</w:t>
      </w:r>
      <w:proofErr w:type="spellEnd"/>
      <w:r w:rsidR="003E23F6" w:rsidRPr="00DE7441">
        <w:rPr>
          <w:rFonts w:ascii="Calibri" w:hAnsi="Calibri" w:cs="Arial"/>
          <w:sz w:val="22"/>
          <w:szCs w:val="22"/>
          <w:lang w:val="tr-TR"/>
        </w:rPr>
        <w:t xml:space="preserve"> ve Sayın </w:t>
      </w:r>
      <w:proofErr w:type="spellStart"/>
      <w:r w:rsidR="003E23F6" w:rsidRPr="00DE7441">
        <w:rPr>
          <w:rFonts w:ascii="Calibri" w:hAnsi="Calibri" w:cs="Arial"/>
          <w:sz w:val="22"/>
          <w:szCs w:val="22"/>
          <w:lang w:val="tr-TR"/>
        </w:rPr>
        <w:t>Omejec’ten</w:t>
      </w:r>
      <w:proofErr w:type="spellEnd"/>
      <w:r w:rsidR="003E23F6" w:rsidRPr="00DE7441">
        <w:rPr>
          <w:rFonts w:ascii="Calibri" w:hAnsi="Calibri" w:cs="Arial"/>
          <w:sz w:val="22"/>
          <w:szCs w:val="22"/>
          <w:lang w:val="tr-TR"/>
        </w:rPr>
        <w:t xml:space="preserve"> oluşan ve Sayın </w:t>
      </w:r>
      <w:proofErr w:type="spellStart"/>
      <w:r w:rsidR="003E23F6" w:rsidRPr="00DE7441">
        <w:rPr>
          <w:rFonts w:ascii="Calibri" w:hAnsi="Calibri" w:cs="Arial"/>
          <w:sz w:val="22"/>
          <w:szCs w:val="22"/>
          <w:lang w:val="tr-TR"/>
        </w:rPr>
        <w:t>Markert</w:t>
      </w:r>
      <w:proofErr w:type="spellEnd"/>
      <w:r w:rsidR="003E23F6" w:rsidRPr="00DE7441">
        <w:rPr>
          <w:rFonts w:ascii="Calibri" w:hAnsi="Calibri" w:cs="Arial"/>
          <w:sz w:val="22"/>
          <w:szCs w:val="22"/>
          <w:lang w:val="tr-TR"/>
        </w:rPr>
        <w:t xml:space="preserve"> ve Sayın </w:t>
      </w:r>
      <w:proofErr w:type="spellStart"/>
      <w:r w:rsidR="003E23F6" w:rsidRPr="00DE7441">
        <w:rPr>
          <w:rFonts w:ascii="Calibri" w:hAnsi="Calibri" w:cs="Arial"/>
          <w:sz w:val="22"/>
          <w:szCs w:val="22"/>
          <w:lang w:val="tr-TR"/>
        </w:rPr>
        <w:t>Dürr’ün</w:t>
      </w:r>
      <w:proofErr w:type="spellEnd"/>
      <w:r w:rsidR="003E23F6" w:rsidRPr="00DE7441">
        <w:rPr>
          <w:rFonts w:ascii="Calibri" w:hAnsi="Calibri" w:cs="Arial"/>
          <w:sz w:val="22"/>
          <w:szCs w:val="22"/>
          <w:lang w:val="tr-TR"/>
        </w:rPr>
        <w:t xml:space="preserve"> eşlik ettiği Venedik Komisyonu heyeti 19 Eylül 2016 tarihinde Ankara’yı ziyaret etmiş ve sırasıyla Adalet Bakanlığı, Anayasa Mahkemesi ve Türkiye Büyük Millet Meclisi’nde t</w:t>
      </w:r>
      <w:r w:rsidR="003A7808" w:rsidRPr="00DE7441">
        <w:rPr>
          <w:rFonts w:ascii="Calibri" w:hAnsi="Calibri" w:cs="Arial"/>
          <w:sz w:val="22"/>
          <w:szCs w:val="22"/>
          <w:lang w:val="tr-TR"/>
        </w:rPr>
        <w:t xml:space="preserve">emsil edilen dört siyasi partiyle görüşmüştür. Venedik Komisyonu, bu ziyaretin düzenlenmesinden dolayı Adalet Bakanlığı’na şükranlarını sunar. </w:t>
      </w:r>
    </w:p>
    <w:p w:rsidR="00AC5906" w:rsidRPr="00DE7441" w:rsidRDefault="00AC5906" w:rsidP="00AC5906">
      <w:pPr>
        <w:widowControl w:val="0"/>
        <w:autoSpaceDE w:val="0"/>
        <w:autoSpaceDN w:val="0"/>
        <w:adjustRightInd w:val="0"/>
        <w:spacing w:after="240"/>
        <w:rPr>
          <w:rFonts w:ascii="Calibri" w:hAnsi="Calibri" w:cs="Times"/>
          <w:sz w:val="22"/>
          <w:szCs w:val="22"/>
          <w:lang w:val="tr-TR"/>
        </w:rPr>
      </w:pPr>
      <w:r w:rsidRPr="00DE7441">
        <w:rPr>
          <w:rFonts w:ascii="Calibri" w:hAnsi="Calibri" w:cs="Arial"/>
          <w:sz w:val="22"/>
          <w:szCs w:val="22"/>
          <w:lang w:val="tr-TR"/>
        </w:rPr>
        <w:t xml:space="preserve">4. </w:t>
      </w:r>
      <w:r w:rsidR="003A7808" w:rsidRPr="00DE7441">
        <w:rPr>
          <w:rFonts w:ascii="Calibri" w:hAnsi="Calibri" w:cs="Arial"/>
          <w:sz w:val="22"/>
          <w:szCs w:val="22"/>
          <w:lang w:val="tr-TR"/>
        </w:rPr>
        <w:t xml:space="preserve">Raportörler, Türk makamları tarafından </w:t>
      </w:r>
      <w:r w:rsidR="00DE7441" w:rsidRPr="00DE7441">
        <w:rPr>
          <w:rFonts w:ascii="Calibri" w:hAnsi="Calibri" w:cs="Arial"/>
          <w:sz w:val="22"/>
          <w:szCs w:val="22"/>
          <w:lang w:val="tr-TR"/>
        </w:rPr>
        <w:t>kendilerine</w:t>
      </w:r>
      <w:r w:rsidR="003A7808" w:rsidRPr="00DE7441">
        <w:rPr>
          <w:rFonts w:ascii="Calibri" w:hAnsi="Calibri" w:cs="Arial"/>
          <w:sz w:val="22"/>
          <w:szCs w:val="22"/>
          <w:lang w:val="tr-TR"/>
        </w:rPr>
        <w:t xml:space="preserve"> verilen Anayasa değişikliği hükmünün İngilizce çevirisine ve Ankara ziyaretinden çıkan sonuçlara dayanarak yorumlarını hazırlamışlardır. Çeviri, her hususta orijinal metni doğru bir şekilde yansıtmayabilir. Dolayısıyla burada ele alınan bazı sorunların kaynağı</w:t>
      </w:r>
      <w:r w:rsidR="007A5703">
        <w:rPr>
          <w:rFonts w:ascii="Calibri" w:hAnsi="Calibri" w:cs="Arial"/>
          <w:sz w:val="22"/>
          <w:szCs w:val="22"/>
          <w:lang w:val="tr-TR"/>
        </w:rPr>
        <w:t>,</w:t>
      </w:r>
      <w:r w:rsidR="003A7808" w:rsidRPr="00DE7441">
        <w:rPr>
          <w:rFonts w:ascii="Calibri" w:hAnsi="Calibri" w:cs="Arial"/>
          <w:sz w:val="22"/>
          <w:szCs w:val="22"/>
          <w:lang w:val="tr-TR"/>
        </w:rPr>
        <w:t xml:space="preserve"> ilgili hükümden ziyade çeviri metin olabilir. </w:t>
      </w:r>
    </w:p>
    <w:p w:rsidR="00AC5906" w:rsidRPr="00DE7441" w:rsidRDefault="00AC5906" w:rsidP="00AC5906">
      <w:pPr>
        <w:widowControl w:val="0"/>
        <w:autoSpaceDE w:val="0"/>
        <w:autoSpaceDN w:val="0"/>
        <w:adjustRightInd w:val="0"/>
        <w:spacing w:after="240"/>
        <w:rPr>
          <w:rFonts w:ascii="Calibri" w:hAnsi="Calibri" w:cs="Times"/>
          <w:sz w:val="22"/>
          <w:szCs w:val="22"/>
          <w:lang w:val="tr-TR"/>
        </w:rPr>
      </w:pPr>
      <w:r w:rsidRPr="00DE7441">
        <w:rPr>
          <w:rFonts w:ascii="Calibri" w:hAnsi="Calibri" w:cs="Arial"/>
          <w:sz w:val="22"/>
          <w:szCs w:val="22"/>
          <w:lang w:val="tr-TR"/>
        </w:rPr>
        <w:t xml:space="preserve">5. </w:t>
      </w:r>
      <w:r w:rsidR="003A7808" w:rsidRPr="00DE7441">
        <w:rPr>
          <w:rFonts w:ascii="Calibri" w:hAnsi="Calibri" w:cs="Arial"/>
          <w:sz w:val="22"/>
          <w:szCs w:val="22"/>
          <w:lang w:val="tr-TR"/>
        </w:rPr>
        <w:t xml:space="preserve">T.C. Adalet Bakanlığı Müsteşar Yardımcısı Sayın Mustafa Erol ile yapılan görüş alışverişini takiben işbu görüş Venedik Komisyonu’nun 108. Genel oturumunda kabul edilmiştir (Venedik, 14-15 Ekim 2016). </w:t>
      </w:r>
    </w:p>
    <w:p w:rsidR="003A7808" w:rsidRDefault="003A7808" w:rsidP="002130BE">
      <w:pPr>
        <w:pStyle w:val="Balk1"/>
      </w:pPr>
      <w:bookmarkStart w:id="2" w:name="_Toc341526724"/>
      <w:r w:rsidRPr="00DE7441">
        <w:t>I</w:t>
      </w:r>
      <w:r w:rsidR="004B0E89" w:rsidRPr="00DE7441">
        <w:t>I</w:t>
      </w:r>
      <w:r w:rsidRPr="00DE7441">
        <w:t>. Genel</w:t>
      </w:r>
      <w:bookmarkEnd w:id="2"/>
    </w:p>
    <w:p w:rsidR="004F7908" w:rsidRPr="00B867ED" w:rsidRDefault="004F7908" w:rsidP="004F7908">
      <w:pPr>
        <w:rPr>
          <w:lang w:val="tr-TR"/>
        </w:rPr>
      </w:pPr>
    </w:p>
    <w:p w:rsidR="003A7808" w:rsidRPr="00DE7441" w:rsidRDefault="003A7808" w:rsidP="003A7808">
      <w:pPr>
        <w:widowControl w:val="0"/>
        <w:autoSpaceDE w:val="0"/>
        <w:autoSpaceDN w:val="0"/>
        <w:adjustRightInd w:val="0"/>
        <w:spacing w:after="240"/>
        <w:rPr>
          <w:rFonts w:ascii="Calibri" w:hAnsi="Calibri" w:cs="Times"/>
          <w:sz w:val="22"/>
          <w:szCs w:val="22"/>
          <w:lang w:val="tr-TR"/>
        </w:rPr>
      </w:pPr>
      <w:r w:rsidRPr="00DE7441">
        <w:rPr>
          <w:rFonts w:ascii="Calibri" w:hAnsi="Calibri" w:cs="Arial"/>
          <w:sz w:val="22"/>
          <w:szCs w:val="22"/>
          <w:lang w:val="tr-TR"/>
        </w:rPr>
        <w:t xml:space="preserve">6. </w:t>
      </w:r>
      <w:r w:rsidR="00237D04" w:rsidRPr="00DE7441">
        <w:rPr>
          <w:rFonts w:ascii="Calibri" w:hAnsi="Calibri" w:cs="Arial"/>
          <w:sz w:val="22"/>
          <w:szCs w:val="22"/>
          <w:lang w:val="tr-TR"/>
        </w:rPr>
        <w:t>Bu görüş, 15 Temmuz 2016 tarihindeki darbe girişimi sonrasında kabul edilen ilk görüştür. Venedik Komisyonu bu darbeyi şiddetli kınar</w:t>
      </w:r>
      <w:r w:rsidR="00DE7441">
        <w:rPr>
          <w:rStyle w:val="DipnotBavurusu"/>
          <w:rFonts w:ascii="Calibri" w:hAnsi="Calibri" w:cs="Arial"/>
          <w:sz w:val="22"/>
          <w:szCs w:val="22"/>
          <w:lang w:val="tr-TR"/>
        </w:rPr>
        <w:footnoteReference w:id="2"/>
      </w:r>
      <w:r w:rsidR="00237D04" w:rsidRPr="00DE7441">
        <w:rPr>
          <w:rFonts w:ascii="Calibri" w:hAnsi="Calibri" w:cs="Arial"/>
          <w:sz w:val="22"/>
          <w:szCs w:val="22"/>
          <w:lang w:val="tr-TR"/>
        </w:rPr>
        <w:t xml:space="preserve"> ve hayatını kaybeden çok sayıda insanın ailelerine taziyelerini sunar. Demokratik kurumları askeri güçle kaldırmak Avrupa Konseyi’nin </w:t>
      </w:r>
      <w:r w:rsidR="007B4F14" w:rsidRPr="00DE7441">
        <w:rPr>
          <w:rFonts w:ascii="Calibri" w:hAnsi="Calibri" w:cs="Arial"/>
          <w:sz w:val="22"/>
          <w:szCs w:val="22"/>
          <w:lang w:val="tr-TR"/>
        </w:rPr>
        <w:t xml:space="preserve">demokrasi, insan hakları ve hukukun üstünlüğü </w:t>
      </w:r>
      <w:r w:rsidR="00237D04" w:rsidRPr="00DE7441">
        <w:rPr>
          <w:rFonts w:ascii="Calibri" w:hAnsi="Calibri" w:cs="Arial"/>
          <w:sz w:val="22"/>
          <w:szCs w:val="22"/>
          <w:lang w:val="tr-TR"/>
        </w:rPr>
        <w:t xml:space="preserve">değerlerinin </w:t>
      </w:r>
      <w:r w:rsidR="007B4F14" w:rsidRPr="00DE7441">
        <w:rPr>
          <w:rFonts w:ascii="Calibri" w:hAnsi="Calibri" w:cs="Arial"/>
          <w:sz w:val="22"/>
          <w:szCs w:val="22"/>
          <w:lang w:val="tr-TR"/>
        </w:rPr>
        <w:t xml:space="preserve">mutlak bir şekilde </w:t>
      </w:r>
      <w:proofErr w:type="gramStart"/>
      <w:r w:rsidR="007B4F14" w:rsidRPr="00DE7441">
        <w:rPr>
          <w:rFonts w:ascii="Calibri" w:hAnsi="Calibri" w:cs="Arial"/>
          <w:sz w:val="22"/>
          <w:szCs w:val="22"/>
          <w:lang w:val="tr-TR"/>
        </w:rPr>
        <w:t>inkarıdır</w:t>
      </w:r>
      <w:proofErr w:type="gramEnd"/>
      <w:r w:rsidRPr="00DE7441">
        <w:rPr>
          <w:rFonts w:ascii="Calibri" w:hAnsi="Calibri" w:cs="Arial"/>
          <w:sz w:val="22"/>
          <w:szCs w:val="22"/>
          <w:lang w:val="tr-TR"/>
        </w:rPr>
        <w:t>.</w:t>
      </w:r>
    </w:p>
    <w:p w:rsidR="003A7808" w:rsidRPr="00DE7441" w:rsidRDefault="003A7808" w:rsidP="003A7808">
      <w:pPr>
        <w:widowControl w:val="0"/>
        <w:autoSpaceDE w:val="0"/>
        <w:autoSpaceDN w:val="0"/>
        <w:adjustRightInd w:val="0"/>
        <w:spacing w:after="240"/>
        <w:rPr>
          <w:rFonts w:ascii="Calibri" w:hAnsi="Calibri" w:cs="Times"/>
          <w:sz w:val="22"/>
          <w:szCs w:val="22"/>
          <w:lang w:val="tr-TR"/>
        </w:rPr>
      </w:pPr>
      <w:r w:rsidRPr="00DE7441">
        <w:rPr>
          <w:rFonts w:ascii="Calibri" w:hAnsi="Calibri" w:cs="Arial"/>
          <w:sz w:val="22"/>
          <w:szCs w:val="22"/>
          <w:lang w:val="tr-TR"/>
        </w:rPr>
        <w:t xml:space="preserve">7. </w:t>
      </w:r>
      <w:r w:rsidR="007B4F14" w:rsidRPr="00DE7441">
        <w:rPr>
          <w:rFonts w:ascii="Calibri" w:hAnsi="Calibri" w:cs="Arial"/>
          <w:sz w:val="22"/>
          <w:szCs w:val="22"/>
          <w:lang w:val="tr-TR"/>
        </w:rPr>
        <w:t xml:space="preserve">Bu görüş, yasama dokunulmazlığı ilkesinin, değişikliğin kabul edildiği tarihte dokunulmazlığının kaldırılmasına ilişkin dosyaları bulunan milletvekilleri hakkında bu dosyalar bakımından uygulanamayacağını öngören 12 Nisan 2016 tarihli Anayasa Değişikliği ile ilgilidir (bundan böyle değişiklik’) . Aşağıda yer alan V. Bölümde daha fazla ayrıntı verilmiştir. Değişiklik darbeden önce </w:t>
      </w:r>
      <w:r w:rsidR="007B4F14" w:rsidRPr="00DE7441">
        <w:rPr>
          <w:rFonts w:ascii="Calibri" w:hAnsi="Calibri" w:cs="Arial"/>
          <w:sz w:val="22"/>
          <w:szCs w:val="22"/>
          <w:lang w:val="tr-TR"/>
        </w:rPr>
        <w:lastRenderedPageBreak/>
        <w:t xml:space="preserve">kabul edilmiş olmakla birlikte, Türkiye’de </w:t>
      </w:r>
      <w:r w:rsidR="00AF2581" w:rsidRPr="00DE7441">
        <w:rPr>
          <w:rFonts w:ascii="Calibri" w:hAnsi="Calibri" w:cs="Arial"/>
          <w:sz w:val="22"/>
          <w:szCs w:val="22"/>
          <w:lang w:val="tr-TR"/>
        </w:rPr>
        <w:t xml:space="preserve">darbe sonrası durum da bu görüşle bağıntılıdır. </w:t>
      </w:r>
    </w:p>
    <w:p w:rsidR="003A7808" w:rsidRPr="00DE7441" w:rsidRDefault="003A7808" w:rsidP="003A78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8. </w:t>
      </w:r>
      <w:r w:rsidR="00AF2581" w:rsidRPr="00DE7441">
        <w:rPr>
          <w:rFonts w:ascii="Calibri" w:hAnsi="Calibri" w:cs="Arial"/>
          <w:sz w:val="22"/>
          <w:szCs w:val="22"/>
          <w:lang w:val="tr-TR"/>
        </w:rPr>
        <w:t xml:space="preserve">20 Temmuz </w:t>
      </w:r>
      <w:r w:rsidR="00B0761E" w:rsidRPr="00DE7441">
        <w:rPr>
          <w:rFonts w:ascii="Calibri" w:hAnsi="Calibri" w:cs="Arial"/>
          <w:sz w:val="22"/>
          <w:szCs w:val="22"/>
          <w:lang w:val="tr-TR"/>
        </w:rPr>
        <w:t xml:space="preserve">2016 tarihinde Türkiye Hükümeti, Anayasa’nın 120. Maddesi ile 2935 sayılı Olağanüstü Hal Kanunu’na (Madde 3/1b) dayanarak üç ay süreyle Olağanüstü Hal ilan etmiştir. Karar 21 Temmuz 2016 tarihinde Resmi Gazetede yayımlanmış ve Meclis tarafından onaylanmıştır. Böylece 21 Temmuz 2016 tarihi itibariyle Olağanüstü Hal yürürlüğe girmiştir.  </w:t>
      </w:r>
    </w:p>
    <w:p w:rsidR="00B132D7" w:rsidRPr="00DE7441" w:rsidRDefault="00B132D7" w:rsidP="00B132D7">
      <w:pPr>
        <w:widowControl w:val="0"/>
        <w:autoSpaceDE w:val="0"/>
        <w:autoSpaceDN w:val="0"/>
        <w:adjustRightInd w:val="0"/>
        <w:spacing w:after="240"/>
        <w:rPr>
          <w:rFonts w:ascii="Calibri" w:hAnsi="Calibri" w:cs="Times"/>
          <w:sz w:val="22"/>
          <w:szCs w:val="22"/>
          <w:lang w:val="tr-TR"/>
        </w:rPr>
      </w:pPr>
      <w:r w:rsidRPr="00DE7441">
        <w:rPr>
          <w:rFonts w:ascii="Calibri" w:hAnsi="Calibri" w:cs="Arial"/>
          <w:sz w:val="22"/>
          <w:szCs w:val="22"/>
          <w:lang w:val="tr-TR"/>
        </w:rPr>
        <w:t xml:space="preserve">9. </w:t>
      </w:r>
      <w:r w:rsidR="00413F77" w:rsidRPr="00DE7441">
        <w:rPr>
          <w:rFonts w:ascii="Calibri" w:hAnsi="Calibri" w:cs="Arial"/>
          <w:sz w:val="22"/>
          <w:szCs w:val="22"/>
          <w:lang w:val="tr-TR"/>
        </w:rPr>
        <w:t xml:space="preserve">Avrupa Konseyi Genel Sekreteri 21 Temmuz 2016 tarihinde Türkiye Daimi Temsilcisinden İnsan Hakları ve Temel Özgürlüklerin Korunmasına Dair Sözleşmeden (bundan böyle ‘Sözleşme’) doğan yükümlülüklere Sözleşmenin 15. Maddesi uyarınca </w:t>
      </w:r>
      <w:proofErr w:type="spellStart"/>
      <w:r w:rsidR="00413F77" w:rsidRPr="00DE7441">
        <w:rPr>
          <w:rFonts w:ascii="Calibri" w:hAnsi="Calibri" w:cs="Arial"/>
          <w:sz w:val="22"/>
          <w:szCs w:val="22"/>
          <w:lang w:val="tr-TR"/>
        </w:rPr>
        <w:t>derogasyon</w:t>
      </w:r>
      <w:proofErr w:type="spellEnd"/>
      <w:r w:rsidR="00413F77" w:rsidRPr="00DE7441">
        <w:rPr>
          <w:rFonts w:ascii="Calibri" w:hAnsi="Calibri" w:cs="Arial"/>
          <w:sz w:val="22"/>
          <w:szCs w:val="22"/>
          <w:lang w:val="tr-TR"/>
        </w:rPr>
        <w:t xml:space="preserve"> uygulanacağına dair beyan içeren aynı tarihli bir yazı almıştır. </w:t>
      </w:r>
    </w:p>
    <w:p w:rsidR="00B132D7" w:rsidRDefault="00B132D7" w:rsidP="002130BE">
      <w:pPr>
        <w:pStyle w:val="Balk1"/>
      </w:pPr>
      <w:bookmarkStart w:id="3" w:name="_Toc341526725"/>
      <w:r w:rsidRPr="00DE7441">
        <w:t xml:space="preserve">III. </w:t>
      </w:r>
      <w:r w:rsidR="00413F77" w:rsidRPr="00DE7441">
        <w:t>Yasama Dokunulmazlığının Kapsamı ve Kaldırılması ile ilgili Rapor</w:t>
      </w:r>
      <w:bookmarkEnd w:id="3"/>
    </w:p>
    <w:p w:rsidR="004F7908" w:rsidRPr="00B867ED" w:rsidRDefault="004F7908" w:rsidP="004F7908">
      <w:pPr>
        <w:rPr>
          <w:lang w:val="tr-TR"/>
        </w:rPr>
      </w:pPr>
    </w:p>
    <w:p w:rsidR="00B132D7" w:rsidRPr="000D6A4B" w:rsidRDefault="00B132D7" w:rsidP="00B132D7">
      <w:pPr>
        <w:widowControl w:val="0"/>
        <w:autoSpaceDE w:val="0"/>
        <w:autoSpaceDN w:val="0"/>
        <w:adjustRightInd w:val="0"/>
        <w:spacing w:after="240"/>
        <w:rPr>
          <w:rFonts w:ascii="Calibri" w:hAnsi="Calibri" w:cs="Times"/>
          <w:sz w:val="22"/>
          <w:szCs w:val="22"/>
          <w:lang w:val="tr-TR"/>
        </w:rPr>
      </w:pPr>
      <w:r w:rsidRPr="000D6A4B">
        <w:rPr>
          <w:rFonts w:ascii="Calibri" w:hAnsi="Calibri" w:cs="Arial"/>
          <w:sz w:val="22"/>
          <w:szCs w:val="22"/>
          <w:lang w:val="tr-TR"/>
        </w:rPr>
        <w:t xml:space="preserve">10. </w:t>
      </w:r>
      <w:r w:rsidR="00712814" w:rsidRPr="000D6A4B">
        <w:rPr>
          <w:rFonts w:ascii="Calibri" w:hAnsi="Calibri" w:cs="Arial"/>
          <w:sz w:val="22"/>
          <w:szCs w:val="22"/>
          <w:lang w:val="tr-TR"/>
        </w:rPr>
        <w:t>Avrupa insan Hakları Mahkemesi, Kart – Türkiye kararında</w:t>
      </w:r>
      <w:r w:rsidR="00DE7441" w:rsidRPr="000D6A4B">
        <w:rPr>
          <w:rStyle w:val="DipnotBavurusu"/>
          <w:rFonts w:ascii="Calibri" w:hAnsi="Calibri" w:cs="Arial"/>
          <w:sz w:val="22"/>
          <w:szCs w:val="22"/>
          <w:lang w:val="tr-TR"/>
        </w:rPr>
        <w:footnoteReference w:id="3"/>
      </w:r>
      <w:r w:rsidR="00712814" w:rsidRPr="000D6A4B">
        <w:rPr>
          <w:rFonts w:ascii="Calibri" w:hAnsi="Calibri" w:cs="Arial"/>
          <w:sz w:val="22"/>
          <w:szCs w:val="22"/>
          <w:lang w:val="tr-TR"/>
        </w:rPr>
        <w:t xml:space="preserve"> şu ifadelere yer </w:t>
      </w:r>
      <w:proofErr w:type="spellStart"/>
      <w:r w:rsidR="00712814" w:rsidRPr="000D6A4B">
        <w:rPr>
          <w:rFonts w:ascii="Calibri" w:hAnsi="Calibri" w:cs="Arial"/>
          <w:sz w:val="22"/>
          <w:szCs w:val="22"/>
          <w:lang w:val="tr-TR"/>
        </w:rPr>
        <w:t>vermiştir</w:t>
      </w:r>
      <w:r w:rsidR="00BA7D22" w:rsidRPr="000D6A4B">
        <w:rPr>
          <w:rFonts w:ascii="Calibri" w:hAnsi="Calibri" w:cs="Arial"/>
          <w:sz w:val="22"/>
          <w:szCs w:val="22"/>
          <w:lang w:val="tr-TR"/>
        </w:rPr>
        <w:t>:</w:t>
      </w:r>
      <w:r w:rsidRPr="000D6A4B">
        <w:rPr>
          <w:rFonts w:ascii="Calibri" w:hAnsi="Calibri" w:cs="Times"/>
          <w:sz w:val="22"/>
          <w:szCs w:val="22"/>
          <w:lang w:val="tr-TR"/>
        </w:rPr>
        <w:t>“</w:t>
      </w:r>
      <w:r w:rsidR="00712814" w:rsidRPr="000D6A4B">
        <w:rPr>
          <w:rFonts w:ascii="Calibri" w:hAnsi="Calibri" w:cs="Times"/>
          <w:sz w:val="22"/>
          <w:szCs w:val="22"/>
          <w:lang w:val="tr-TR"/>
        </w:rPr>
        <w:t>Mahkeme</w:t>
      </w:r>
      <w:proofErr w:type="spellEnd"/>
      <w:r w:rsidR="006B3924" w:rsidRPr="000D6A4B">
        <w:rPr>
          <w:rFonts w:ascii="Calibri" w:hAnsi="Calibri" w:cs="Times"/>
          <w:sz w:val="22"/>
          <w:szCs w:val="22"/>
          <w:lang w:val="tr-TR"/>
        </w:rPr>
        <w:t xml:space="preserve">, </w:t>
      </w:r>
      <w:r w:rsidR="00712814" w:rsidRPr="000D6A4B">
        <w:rPr>
          <w:rFonts w:ascii="Calibri" w:hAnsi="Calibri" w:cs="Times"/>
          <w:sz w:val="22"/>
          <w:szCs w:val="22"/>
          <w:lang w:val="tr-TR"/>
        </w:rPr>
        <w:t xml:space="preserve">dokunulmazlığın </w:t>
      </w:r>
      <w:r w:rsidR="00BA7D22" w:rsidRPr="000D6A4B">
        <w:rPr>
          <w:rFonts w:ascii="Calibri" w:hAnsi="Calibri" w:cs="Times"/>
          <w:sz w:val="22"/>
          <w:szCs w:val="22"/>
          <w:lang w:val="tr-TR"/>
        </w:rPr>
        <w:t xml:space="preserve">bu bakımdan </w:t>
      </w:r>
      <w:r w:rsidR="00712814" w:rsidRPr="000D6A4B">
        <w:rPr>
          <w:rFonts w:ascii="Calibri" w:hAnsi="Calibri" w:cs="Times"/>
          <w:sz w:val="22"/>
          <w:szCs w:val="22"/>
          <w:lang w:val="tr-TR"/>
        </w:rPr>
        <w:t xml:space="preserve">Milletvekili </w:t>
      </w:r>
      <w:r w:rsidR="006B3924" w:rsidRPr="000D6A4B">
        <w:rPr>
          <w:rFonts w:ascii="Calibri" w:hAnsi="Calibri" w:cs="Times"/>
          <w:sz w:val="22"/>
          <w:szCs w:val="22"/>
          <w:lang w:val="tr-TR"/>
        </w:rPr>
        <w:t>yararına</w:t>
      </w:r>
      <w:r w:rsidR="00712814" w:rsidRPr="000D6A4B">
        <w:rPr>
          <w:rFonts w:ascii="Calibri" w:hAnsi="Calibri" w:cs="Times"/>
          <w:sz w:val="22"/>
          <w:szCs w:val="22"/>
          <w:lang w:val="tr-TR"/>
        </w:rPr>
        <w:t xml:space="preserve"> kişisel bir ayrıcalık </w:t>
      </w:r>
      <w:r w:rsidR="006B3924" w:rsidRPr="000D6A4B">
        <w:rPr>
          <w:rFonts w:ascii="Calibri" w:hAnsi="Calibri" w:cs="Times"/>
          <w:sz w:val="22"/>
          <w:szCs w:val="22"/>
          <w:lang w:val="tr-TR"/>
        </w:rPr>
        <w:t xml:space="preserve">olmadığını, daha ziyade vekilin statüsüyle bağlantılı bir ayrıcalık olduğunu ve bu nedenle de imtiyaz sahibi tarafından feragat </w:t>
      </w:r>
      <w:r w:rsidR="007A5703" w:rsidRPr="000D6A4B">
        <w:rPr>
          <w:rFonts w:ascii="Calibri" w:hAnsi="Calibri" w:cs="Times"/>
          <w:sz w:val="22"/>
          <w:szCs w:val="22"/>
          <w:lang w:val="tr-TR"/>
        </w:rPr>
        <w:t xml:space="preserve">yoluyla kaldırılamayacağını </w:t>
      </w:r>
      <w:r w:rsidR="006B3924" w:rsidRPr="000D6A4B">
        <w:rPr>
          <w:rFonts w:ascii="Calibri" w:hAnsi="Calibri" w:cs="Times"/>
          <w:sz w:val="22"/>
          <w:szCs w:val="22"/>
          <w:lang w:val="tr-TR"/>
        </w:rPr>
        <w:t>yineler</w:t>
      </w:r>
      <w:r w:rsidRPr="000D6A4B">
        <w:rPr>
          <w:rFonts w:ascii="Calibri" w:hAnsi="Calibri" w:cs="Times"/>
          <w:sz w:val="22"/>
          <w:szCs w:val="22"/>
          <w:lang w:val="tr-TR"/>
        </w:rPr>
        <w:t xml:space="preserve">”. </w:t>
      </w:r>
      <w:r w:rsidR="00BA7D22" w:rsidRPr="000D6A4B">
        <w:rPr>
          <w:rFonts w:ascii="Calibri" w:hAnsi="Calibri" w:cs="Times"/>
          <w:sz w:val="22"/>
          <w:szCs w:val="22"/>
          <w:lang w:val="tr-TR"/>
        </w:rPr>
        <w:t>Yasama Dokunulmazlı</w:t>
      </w:r>
      <w:r w:rsidR="006B3924" w:rsidRPr="000D6A4B">
        <w:rPr>
          <w:rFonts w:ascii="Calibri" w:hAnsi="Calibri" w:cs="Times"/>
          <w:sz w:val="22"/>
          <w:szCs w:val="22"/>
          <w:lang w:val="tr-TR"/>
        </w:rPr>
        <w:t xml:space="preserve">ğının Kapsamı ve Kaldırılmasına ilişkin Raporunda, </w:t>
      </w:r>
      <w:r w:rsidRPr="000D6A4B">
        <w:rPr>
          <w:rFonts w:ascii="Calibri" w:hAnsi="Calibri" w:cs="Arial"/>
          <w:sz w:val="22"/>
          <w:szCs w:val="22"/>
          <w:lang w:val="tr-TR"/>
        </w:rPr>
        <w:t xml:space="preserve">(CDL-AD(2014)011, </w:t>
      </w:r>
      <w:r w:rsidR="006B3924" w:rsidRPr="000D6A4B">
        <w:rPr>
          <w:rFonts w:ascii="Calibri" w:hAnsi="Calibri" w:cs="Arial"/>
          <w:sz w:val="22"/>
          <w:szCs w:val="22"/>
          <w:lang w:val="tr-TR"/>
        </w:rPr>
        <w:t>bund</w:t>
      </w:r>
      <w:r w:rsidR="00BA7D22" w:rsidRPr="000D6A4B">
        <w:rPr>
          <w:rFonts w:ascii="Calibri" w:hAnsi="Calibri" w:cs="Arial"/>
          <w:sz w:val="22"/>
          <w:szCs w:val="22"/>
          <w:lang w:val="tr-TR"/>
        </w:rPr>
        <w:t>a</w:t>
      </w:r>
      <w:r w:rsidR="006B3924" w:rsidRPr="000D6A4B">
        <w:rPr>
          <w:rFonts w:ascii="Calibri" w:hAnsi="Calibri" w:cs="Arial"/>
          <w:sz w:val="22"/>
          <w:szCs w:val="22"/>
          <w:lang w:val="tr-TR"/>
        </w:rPr>
        <w:t>n böyle ‘Rapor’</w:t>
      </w:r>
      <w:r w:rsidRPr="000D6A4B">
        <w:rPr>
          <w:rFonts w:ascii="Calibri" w:hAnsi="Calibri" w:cs="Arial"/>
          <w:sz w:val="22"/>
          <w:szCs w:val="22"/>
          <w:lang w:val="tr-TR"/>
        </w:rPr>
        <w:t xml:space="preserve">) </w:t>
      </w:r>
      <w:r w:rsidR="006B3924" w:rsidRPr="000D6A4B">
        <w:rPr>
          <w:rFonts w:ascii="Calibri" w:hAnsi="Calibri" w:cs="Arial"/>
          <w:sz w:val="22"/>
          <w:szCs w:val="22"/>
          <w:lang w:val="tr-TR"/>
        </w:rPr>
        <w:t>Venedik Komisyonu</w:t>
      </w:r>
      <w:r w:rsidR="00BA7D22" w:rsidRPr="000D6A4B">
        <w:rPr>
          <w:rFonts w:ascii="Calibri" w:hAnsi="Calibri" w:cs="Arial"/>
          <w:sz w:val="22"/>
          <w:szCs w:val="22"/>
          <w:lang w:val="tr-TR"/>
        </w:rPr>
        <w:t>,</w:t>
      </w:r>
      <w:r w:rsidR="006B3924" w:rsidRPr="000D6A4B">
        <w:rPr>
          <w:rFonts w:ascii="Calibri" w:hAnsi="Calibri" w:cs="Arial"/>
          <w:sz w:val="22"/>
          <w:szCs w:val="22"/>
          <w:lang w:val="tr-TR"/>
        </w:rPr>
        <w:t xml:space="preserve"> yasama dokunulmazlığının Milletvekilleri için kişisel bir imtiyaz olmadığını ancak kurum olarak parlamentoyu koruduğunu ifade eder. Raporun 35. Paragrafındaki açıklamaya göre </w:t>
      </w:r>
      <w:r w:rsidRPr="000D6A4B">
        <w:rPr>
          <w:rFonts w:ascii="Calibri" w:hAnsi="Calibri" w:cs="Times"/>
          <w:sz w:val="22"/>
          <w:szCs w:val="22"/>
          <w:lang w:val="tr-TR"/>
        </w:rPr>
        <w:t>“</w:t>
      </w:r>
      <w:r w:rsidR="006B3924" w:rsidRPr="000D6A4B">
        <w:rPr>
          <w:rFonts w:ascii="Calibri" w:hAnsi="Calibri" w:cs="Times"/>
          <w:sz w:val="22"/>
          <w:szCs w:val="22"/>
          <w:lang w:val="tr-TR"/>
        </w:rPr>
        <w:t xml:space="preserve">yasama dokunulmazlığı ile ilgili kuralların varlığı her şeyden önce temsili demokrasi ilkesini koruma ihtiyacına dayanmaktadır. </w:t>
      </w:r>
      <w:r w:rsidR="00BA7D22" w:rsidRPr="000D6A4B">
        <w:rPr>
          <w:rFonts w:ascii="Calibri" w:hAnsi="Calibri" w:cs="Times"/>
          <w:sz w:val="22"/>
          <w:szCs w:val="22"/>
          <w:lang w:val="tr-TR"/>
        </w:rPr>
        <w:t>Bu türden</w:t>
      </w:r>
      <w:r w:rsidR="00BC0DB5" w:rsidRPr="000D6A4B">
        <w:rPr>
          <w:rFonts w:ascii="Calibri" w:hAnsi="Calibri" w:cs="Times"/>
          <w:sz w:val="22"/>
          <w:szCs w:val="22"/>
          <w:lang w:val="tr-TR"/>
        </w:rPr>
        <w:t xml:space="preserve"> bir dokunulmazlık, </w:t>
      </w:r>
      <w:r w:rsidR="00AB0B7C" w:rsidRPr="000D6A4B">
        <w:rPr>
          <w:rFonts w:ascii="Calibri" w:hAnsi="Calibri" w:cs="Times"/>
          <w:sz w:val="22"/>
          <w:szCs w:val="22"/>
          <w:lang w:val="tr-TR"/>
        </w:rPr>
        <w:t xml:space="preserve">halkın seçilmiş temsilcilerinin, yürütmeden, mahkemelerden ve siyasi muhaliflerden gelebilecek taciz veya gereksiz müdahalelerden </w:t>
      </w:r>
      <w:proofErr w:type="gramStart"/>
      <w:r w:rsidR="00AB0B7C" w:rsidRPr="000D6A4B">
        <w:rPr>
          <w:rFonts w:ascii="Calibri" w:hAnsi="Calibri" w:cs="Times"/>
          <w:sz w:val="22"/>
          <w:szCs w:val="22"/>
          <w:lang w:val="tr-TR"/>
        </w:rPr>
        <w:t>korkmaksızın  demokratik</w:t>
      </w:r>
      <w:proofErr w:type="gramEnd"/>
      <w:r w:rsidR="00AB0B7C" w:rsidRPr="000D6A4B">
        <w:rPr>
          <w:rFonts w:ascii="Calibri" w:hAnsi="Calibri" w:cs="Times"/>
          <w:sz w:val="22"/>
          <w:szCs w:val="22"/>
          <w:lang w:val="tr-TR"/>
        </w:rPr>
        <w:t xml:space="preserve"> işlevlerini fiilen yerine getirebilmelerini sağlamak için uygun ve gerekli olduğu ölçüde haklı gösterilebilir</w:t>
      </w:r>
      <w:r w:rsidRPr="000D6A4B">
        <w:rPr>
          <w:rFonts w:ascii="Calibri" w:hAnsi="Calibri" w:cs="Times"/>
          <w:sz w:val="22"/>
          <w:szCs w:val="22"/>
          <w:lang w:val="tr-TR"/>
        </w:rPr>
        <w:t xml:space="preserve">. </w:t>
      </w:r>
      <w:r w:rsidR="00AB0B7C" w:rsidRPr="000D6A4B">
        <w:rPr>
          <w:rFonts w:ascii="Calibri" w:hAnsi="Calibri" w:cs="Times"/>
          <w:sz w:val="22"/>
          <w:szCs w:val="22"/>
          <w:lang w:val="tr-TR"/>
        </w:rPr>
        <w:t>Bu durum meclisteki muhalefet ve siyasi azınlıklar bakımından özellikle önemlidir</w:t>
      </w:r>
      <w:r w:rsidRPr="000D6A4B">
        <w:rPr>
          <w:rFonts w:ascii="Calibri" w:hAnsi="Calibri" w:cs="Times"/>
          <w:sz w:val="22"/>
          <w:szCs w:val="22"/>
          <w:lang w:val="tr-TR"/>
        </w:rPr>
        <w:t>.”</w:t>
      </w:r>
    </w:p>
    <w:p w:rsidR="00B132D7" w:rsidRPr="000D6A4B" w:rsidRDefault="00B132D7" w:rsidP="00B132D7">
      <w:pPr>
        <w:widowControl w:val="0"/>
        <w:autoSpaceDE w:val="0"/>
        <w:autoSpaceDN w:val="0"/>
        <w:adjustRightInd w:val="0"/>
        <w:spacing w:after="240"/>
        <w:rPr>
          <w:rFonts w:ascii="Calibri" w:hAnsi="Calibri" w:cs="Times"/>
          <w:sz w:val="22"/>
          <w:szCs w:val="22"/>
          <w:lang w:val="tr-TR"/>
        </w:rPr>
      </w:pPr>
      <w:r w:rsidRPr="000D6A4B">
        <w:rPr>
          <w:rFonts w:ascii="Calibri" w:hAnsi="Calibri" w:cs="Arial"/>
          <w:sz w:val="22"/>
          <w:szCs w:val="22"/>
          <w:lang w:val="tr-TR"/>
        </w:rPr>
        <w:t xml:space="preserve">11. </w:t>
      </w:r>
      <w:r w:rsidR="00AB0B7C" w:rsidRPr="000D6A4B">
        <w:rPr>
          <w:rFonts w:ascii="Calibri" w:hAnsi="Calibri" w:cs="Arial"/>
          <w:sz w:val="22"/>
          <w:szCs w:val="22"/>
          <w:lang w:val="tr-TR"/>
        </w:rPr>
        <w:t xml:space="preserve">Venedik </w:t>
      </w:r>
      <w:proofErr w:type="spellStart"/>
      <w:proofErr w:type="gramStart"/>
      <w:r w:rsidR="00AB0B7C" w:rsidRPr="000D6A4B">
        <w:rPr>
          <w:rFonts w:ascii="Calibri" w:hAnsi="Calibri" w:cs="Arial"/>
          <w:sz w:val="22"/>
          <w:szCs w:val="22"/>
          <w:lang w:val="tr-TR"/>
        </w:rPr>
        <w:t>Komisyonu</w:t>
      </w:r>
      <w:r w:rsidR="00B10091" w:rsidRPr="000D6A4B">
        <w:rPr>
          <w:rFonts w:ascii="Calibri" w:hAnsi="Calibri" w:cs="Arial"/>
          <w:sz w:val="22"/>
          <w:szCs w:val="22"/>
          <w:lang w:val="tr-TR"/>
        </w:rPr>
        <w:t>,r</w:t>
      </w:r>
      <w:r w:rsidR="00BA7D22" w:rsidRPr="000D6A4B">
        <w:rPr>
          <w:rFonts w:ascii="Calibri" w:hAnsi="Calibri" w:cs="Arial"/>
          <w:sz w:val="22"/>
          <w:szCs w:val="22"/>
          <w:lang w:val="tr-TR"/>
        </w:rPr>
        <w:t>aporunda</w:t>
      </w:r>
      <w:proofErr w:type="spellEnd"/>
      <w:proofErr w:type="gramEnd"/>
      <w:r w:rsidR="00BA7D22" w:rsidRPr="000D6A4B">
        <w:rPr>
          <w:rFonts w:ascii="Calibri" w:hAnsi="Calibri" w:cs="Arial"/>
          <w:sz w:val="22"/>
          <w:szCs w:val="22"/>
          <w:lang w:val="tr-TR"/>
        </w:rPr>
        <w:t xml:space="preserve"> </w:t>
      </w:r>
      <w:r w:rsidR="00AB0B7C" w:rsidRPr="000D6A4B">
        <w:rPr>
          <w:rFonts w:ascii="Calibri" w:hAnsi="Calibri" w:cs="Arial"/>
          <w:sz w:val="22"/>
          <w:szCs w:val="22"/>
          <w:lang w:val="tr-TR"/>
        </w:rPr>
        <w:t>Milletvekil</w:t>
      </w:r>
      <w:r w:rsidR="00B10091" w:rsidRPr="000D6A4B">
        <w:rPr>
          <w:rFonts w:ascii="Calibri" w:hAnsi="Calibri" w:cs="Arial"/>
          <w:sz w:val="22"/>
          <w:szCs w:val="22"/>
          <w:lang w:val="tr-TR"/>
        </w:rPr>
        <w:t>i</w:t>
      </w:r>
      <w:r w:rsidR="00B867ED">
        <w:rPr>
          <w:rFonts w:ascii="Calibri" w:hAnsi="Calibri" w:cs="Arial"/>
          <w:sz w:val="22"/>
          <w:szCs w:val="22"/>
          <w:lang w:val="tr-TR"/>
        </w:rPr>
        <w:t>nin yasama</w:t>
      </w:r>
      <w:r w:rsidR="00B10091" w:rsidRPr="000D6A4B">
        <w:rPr>
          <w:rFonts w:ascii="Calibri" w:hAnsi="Calibri" w:cs="Arial"/>
          <w:sz w:val="22"/>
          <w:szCs w:val="22"/>
          <w:lang w:val="tr-TR"/>
        </w:rPr>
        <w:t xml:space="preserve"> </w:t>
      </w:r>
      <w:r w:rsidR="00AB0B7C" w:rsidRPr="000D6A4B">
        <w:rPr>
          <w:rFonts w:ascii="Calibri" w:hAnsi="Calibri" w:cs="Arial"/>
          <w:sz w:val="22"/>
          <w:szCs w:val="22"/>
          <w:lang w:val="tr-TR"/>
        </w:rPr>
        <w:t>sorumsuzluğu ile dokunulmazlığı arasında ayrım yapar</w:t>
      </w:r>
      <w:r w:rsidR="00993491" w:rsidRPr="000D6A4B">
        <w:rPr>
          <w:rFonts w:ascii="Calibri" w:hAnsi="Calibri" w:cs="Arial"/>
          <w:sz w:val="22"/>
          <w:szCs w:val="22"/>
          <w:lang w:val="tr-TR"/>
        </w:rPr>
        <w:t>.</w:t>
      </w:r>
      <w:r w:rsidR="000F570E" w:rsidRPr="000D6A4B">
        <w:rPr>
          <w:rStyle w:val="DipnotBavurusu"/>
          <w:rFonts w:ascii="Calibri" w:hAnsi="Calibri" w:cs="Arial"/>
          <w:sz w:val="22"/>
          <w:szCs w:val="22"/>
          <w:lang w:val="tr-TR"/>
        </w:rPr>
        <w:footnoteReference w:id="4"/>
      </w:r>
      <w:r w:rsidR="00993491" w:rsidRPr="000D6A4B">
        <w:rPr>
          <w:rFonts w:ascii="Calibri" w:hAnsi="Calibri" w:cs="Arial"/>
          <w:sz w:val="22"/>
          <w:szCs w:val="22"/>
          <w:lang w:val="tr-TR"/>
        </w:rPr>
        <w:t xml:space="preserve"> ‘Sorumsuzluk’ </w:t>
      </w:r>
      <w:r w:rsidRPr="000D6A4B">
        <w:rPr>
          <w:rFonts w:ascii="Calibri" w:hAnsi="Calibri" w:cs="Times"/>
          <w:sz w:val="22"/>
          <w:szCs w:val="22"/>
          <w:lang w:val="tr-TR"/>
        </w:rPr>
        <w:t>“</w:t>
      </w:r>
      <w:r w:rsidR="00BA7D22" w:rsidRPr="000D6A4B">
        <w:rPr>
          <w:rFonts w:ascii="Calibri" w:hAnsi="Calibri" w:cs="Times"/>
          <w:sz w:val="22"/>
          <w:szCs w:val="22"/>
          <w:lang w:val="tr-TR"/>
        </w:rPr>
        <w:t xml:space="preserve">milletvekilliği görevinin icrası ile </w:t>
      </w:r>
      <w:r w:rsidR="00B10091" w:rsidRPr="000D6A4B">
        <w:rPr>
          <w:rFonts w:ascii="Calibri" w:hAnsi="Calibri" w:cs="Times"/>
          <w:sz w:val="22"/>
          <w:szCs w:val="22"/>
          <w:lang w:val="tr-TR"/>
        </w:rPr>
        <w:t xml:space="preserve">ilişkili </w:t>
      </w:r>
      <w:proofErr w:type="spellStart"/>
      <w:r w:rsidR="00B10091" w:rsidRPr="000D6A4B">
        <w:rPr>
          <w:rFonts w:ascii="Calibri" w:hAnsi="Calibri" w:cs="Times"/>
          <w:sz w:val="22"/>
          <w:szCs w:val="22"/>
          <w:lang w:val="tr-TR"/>
        </w:rPr>
        <w:t>olarakkullanılan</w:t>
      </w:r>
      <w:proofErr w:type="spellEnd"/>
      <w:r w:rsidR="00B10091" w:rsidRPr="000D6A4B">
        <w:rPr>
          <w:rFonts w:ascii="Calibri" w:hAnsi="Calibri" w:cs="Times"/>
          <w:sz w:val="22"/>
          <w:szCs w:val="22"/>
          <w:lang w:val="tr-TR"/>
        </w:rPr>
        <w:t xml:space="preserve"> oylar, bildirilen görüşler ve söylenen sözlere karşı her türlü adli işlem karşısındaki dokunulmazlık, diğer bir deyişle, sıradan vatandaşların sahip olduğundan daha geniş bir ifade özgürlüğü anlamına gelir</w:t>
      </w:r>
      <w:r w:rsidRPr="000D6A4B">
        <w:rPr>
          <w:rFonts w:ascii="Calibri" w:hAnsi="Calibri" w:cs="Times"/>
          <w:sz w:val="22"/>
          <w:szCs w:val="22"/>
          <w:lang w:val="tr-TR"/>
        </w:rPr>
        <w:t xml:space="preserve">”. </w:t>
      </w:r>
      <w:r w:rsidR="00B10091" w:rsidRPr="000D6A4B">
        <w:rPr>
          <w:rFonts w:ascii="Calibri" w:hAnsi="Calibri" w:cs="Times"/>
          <w:sz w:val="22"/>
          <w:szCs w:val="22"/>
          <w:lang w:val="tr-TR"/>
        </w:rPr>
        <w:t>Öte yandan ‘dokunulmazlık’ kanunu ihlal etmekle itham edilen milletvekilleri</w:t>
      </w:r>
      <w:r w:rsidR="003C09F1" w:rsidRPr="000D6A4B">
        <w:rPr>
          <w:rFonts w:ascii="Calibri" w:hAnsi="Calibri" w:cs="Times"/>
          <w:sz w:val="22"/>
          <w:szCs w:val="22"/>
          <w:lang w:val="tr-TR"/>
        </w:rPr>
        <w:t>nin</w:t>
      </w:r>
      <w:r w:rsidR="00B10091" w:rsidRPr="000D6A4B">
        <w:rPr>
          <w:rFonts w:ascii="Calibri" w:hAnsi="Calibri" w:cs="Times"/>
          <w:sz w:val="22"/>
          <w:szCs w:val="22"/>
          <w:lang w:val="tr-TR"/>
        </w:rPr>
        <w:t xml:space="preserve">, </w:t>
      </w:r>
      <w:r w:rsidR="00E04A5E" w:rsidRPr="000D6A4B">
        <w:rPr>
          <w:rFonts w:ascii="Calibri" w:hAnsi="Calibri" w:cs="Times"/>
          <w:sz w:val="22"/>
          <w:szCs w:val="22"/>
          <w:lang w:val="tr-TR"/>
        </w:rPr>
        <w:t xml:space="preserve">üyesi bulundukları meclisin rızası </w:t>
      </w:r>
      <w:proofErr w:type="spellStart"/>
      <w:r w:rsidR="003C09F1" w:rsidRPr="000D6A4B">
        <w:rPr>
          <w:rFonts w:ascii="Calibri" w:hAnsi="Calibri" w:cs="Times"/>
          <w:sz w:val="22"/>
          <w:szCs w:val="22"/>
          <w:lang w:val="tr-TR"/>
        </w:rPr>
        <w:t>olmadan</w:t>
      </w:r>
      <w:r w:rsidR="00B10091" w:rsidRPr="000D6A4B">
        <w:rPr>
          <w:rFonts w:ascii="Calibri" w:hAnsi="Calibri" w:cs="Times"/>
          <w:sz w:val="22"/>
          <w:szCs w:val="22"/>
          <w:lang w:val="tr-TR"/>
        </w:rPr>
        <w:t>tutukla</w:t>
      </w:r>
      <w:r w:rsidR="003C09F1" w:rsidRPr="000D6A4B">
        <w:rPr>
          <w:rFonts w:ascii="Calibri" w:hAnsi="Calibri" w:cs="Times"/>
          <w:sz w:val="22"/>
          <w:szCs w:val="22"/>
          <w:lang w:val="tr-TR"/>
        </w:rPr>
        <w:t>namayacakları</w:t>
      </w:r>
      <w:proofErr w:type="spellEnd"/>
      <w:r w:rsidR="003C09F1" w:rsidRPr="000D6A4B">
        <w:rPr>
          <w:rFonts w:ascii="Calibri" w:hAnsi="Calibri" w:cs="Times"/>
          <w:sz w:val="22"/>
          <w:szCs w:val="22"/>
          <w:lang w:val="tr-TR"/>
        </w:rPr>
        <w:t>, gözaltına alınamayacakları ve yargılanamayacakları anlamına gelir</w:t>
      </w:r>
      <w:r w:rsidRPr="000D6A4B">
        <w:rPr>
          <w:rFonts w:ascii="Calibri" w:hAnsi="Calibri" w:cs="Times"/>
          <w:sz w:val="22"/>
          <w:szCs w:val="22"/>
          <w:lang w:val="tr-TR"/>
        </w:rPr>
        <w:t xml:space="preserve">. </w:t>
      </w:r>
      <w:r w:rsidR="0094527F" w:rsidRPr="000D6A4B">
        <w:rPr>
          <w:rFonts w:ascii="Calibri" w:hAnsi="Calibri" w:cs="Times"/>
          <w:sz w:val="22"/>
          <w:szCs w:val="22"/>
          <w:lang w:val="tr-TR"/>
        </w:rPr>
        <w:t>Her durumda, dokunulmazlık geçicidir ve Milletvekilinin görevi sona erdikten sonra adli süreç başlatılabilir</w:t>
      </w:r>
      <w:r w:rsidRPr="000D6A4B">
        <w:rPr>
          <w:rFonts w:ascii="Calibri" w:hAnsi="Calibri" w:cs="Arial"/>
          <w:sz w:val="22"/>
          <w:szCs w:val="22"/>
          <w:lang w:val="tr-TR"/>
        </w:rPr>
        <w:t>.</w:t>
      </w:r>
    </w:p>
    <w:p w:rsidR="00B132D7" w:rsidRPr="000D6A4B" w:rsidRDefault="00B132D7" w:rsidP="00B132D7">
      <w:pPr>
        <w:widowControl w:val="0"/>
        <w:autoSpaceDE w:val="0"/>
        <w:autoSpaceDN w:val="0"/>
        <w:adjustRightInd w:val="0"/>
        <w:spacing w:after="240"/>
        <w:rPr>
          <w:rFonts w:ascii="Calibri" w:hAnsi="Calibri" w:cs="Times"/>
          <w:sz w:val="22"/>
          <w:szCs w:val="22"/>
          <w:lang w:val="tr-TR"/>
        </w:rPr>
      </w:pPr>
      <w:r w:rsidRPr="000D6A4B">
        <w:rPr>
          <w:rFonts w:ascii="Calibri" w:hAnsi="Calibri" w:cs="Arial"/>
          <w:sz w:val="22"/>
          <w:szCs w:val="22"/>
          <w:lang w:val="tr-TR"/>
        </w:rPr>
        <w:t xml:space="preserve">12. </w:t>
      </w:r>
      <w:r w:rsidR="0094527F" w:rsidRPr="000D6A4B">
        <w:rPr>
          <w:rFonts w:ascii="Calibri" w:hAnsi="Calibri" w:cs="Arial"/>
          <w:sz w:val="22"/>
          <w:szCs w:val="22"/>
          <w:lang w:val="tr-TR"/>
        </w:rPr>
        <w:t xml:space="preserve">Sorumsuzluğun tam kapsamı ülkeden ülkeye farklılık gösterir. Raporun 64. Paragrafına göre: </w:t>
      </w:r>
      <w:r w:rsidRPr="000D6A4B">
        <w:rPr>
          <w:rFonts w:ascii="Calibri" w:hAnsi="Calibri" w:cs="Times"/>
          <w:sz w:val="22"/>
          <w:szCs w:val="22"/>
          <w:lang w:val="tr-TR"/>
        </w:rPr>
        <w:lastRenderedPageBreak/>
        <w:t>“</w:t>
      </w:r>
      <w:r w:rsidR="0094527F" w:rsidRPr="000D6A4B">
        <w:rPr>
          <w:rFonts w:ascii="Calibri" w:hAnsi="Calibri" w:cs="Times"/>
          <w:sz w:val="22"/>
          <w:szCs w:val="22"/>
          <w:lang w:val="tr-TR"/>
        </w:rPr>
        <w:t>genel bir kural olarak sorumsuzluk sadece yasama görevinin icrası sırasında ifade edilen görüş ve açıklamalar için geçerli olmakla birlikte bu sınırlamanın kapsamı değişkenlik gösterir</w:t>
      </w:r>
      <w:r w:rsidRPr="000D6A4B">
        <w:rPr>
          <w:rFonts w:ascii="Calibri" w:hAnsi="Calibri" w:cs="Times"/>
          <w:sz w:val="22"/>
          <w:szCs w:val="22"/>
          <w:lang w:val="tr-TR"/>
        </w:rPr>
        <w:t xml:space="preserve">. </w:t>
      </w:r>
      <w:r w:rsidR="0094527F" w:rsidRPr="000D6A4B">
        <w:rPr>
          <w:rFonts w:ascii="Calibri" w:hAnsi="Calibri" w:cs="Times"/>
          <w:sz w:val="22"/>
          <w:szCs w:val="22"/>
          <w:lang w:val="tr-TR"/>
        </w:rPr>
        <w:t xml:space="preserve">Pek çok ülkede, ihtilaflı ifadelerin kullanıldığı </w:t>
      </w:r>
      <w:proofErr w:type="gramStart"/>
      <w:r w:rsidR="00DC27A1" w:rsidRPr="000D6A4B">
        <w:rPr>
          <w:rFonts w:ascii="Calibri" w:hAnsi="Calibri" w:cs="Times"/>
          <w:sz w:val="22"/>
          <w:szCs w:val="22"/>
          <w:lang w:val="tr-TR"/>
        </w:rPr>
        <w:t>mekanın</w:t>
      </w:r>
      <w:proofErr w:type="gramEnd"/>
      <w:r w:rsidR="0094527F" w:rsidRPr="000D6A4B">
        <w:rPr>
          <w:rFonts w:ascii="Calibri" w:hAnsi="Calibri" w:cs="Times"/>
          <w:sz w:val="22"/>
          <w:szCs w:val="22"/>
          <w:lang w:val="tr-TR"/>
        </w:rPr>
        <w:t xml:space="preserve"> bir önemi yoktur, ifadenin yasama faaliyeti bağlamında gerçekleşmesi yeterlidir. Dolayısıyla, özel ifade özgürlüğü imtiyazı</w:t>
      </w:r>
      <w:r w:rsidR="00280E86" w:rsidRPr="000D6A4B">
        <w:rPr>
          <w:rFonts w:ascii="Calibri" w:hAnsi="Calibri" w:cs="Times"/>
          <w:sz w:val="22"/>
          <w:szCs w:val="22"/>
          <w:lang w:val="tr-TR"/>
        </w:rPr>
        <w:t xml:space="preserve"> mekanla sınırlı değildir ve gerek mecliste gerekse meclis dışında, me</w:t>
      </w:r>
      <w:r w:rsidR="00DC27A1" w:rsidRPr="000D6A4B">
        <w:rPr>
          <w:rFonts w:ascii="Calibri" w:hAnsi="Calibri" w:cs="Times"/>
          <w:sz w:val="22"/>
          <w:szCs w:val="22"/>
          <w:lang w:val="tr-TR"/>
        </w:rPr>
        <w:t>dyada veya kamuya açık miting</w:t>
      </w:r>
      <w:r w:rsidR="00280E86" w:rsidRPr="000D6A4B">
        <w:rPr>
          <w:rFonts w:ascii="Calibri" w:hAnsi="Calibri" w:cs="Times"/>
          <w:sz w:val="22"/>
          <w:szCs w:val="22"/>
          <w:lang w:val="tr-TR"/>
        </w:rPr>
        <w:t xml:space="preserve"> ve tartışmalar</w:t>
      </w:r>
      <w:r w:rsidR="003F5445" w:rsidRPr="000D6A4B">
        <w:rPr>
          <w:rFonts w:ascii="Calibri" w:hAnsi="Calibri" w:cs="Times"/>
          <w:sz w:val="22"/>
          <w:szCs w:val="22"/>
          <w:lang w:val="tr-TR"/>
        </w:rPr>
        <w:t xml:space="preserve"> </w:t>
      </w:r>
      <w:proofErr w:type="gramStart"/>
      <w:r w:rsidR="003F5445" w:rsidRPr="000D6A4B">
        <w:rPr>
          <w:rFonts w:ascii="Calibri" w:hAnsi="Calibri" w:cs="Times"/>
          <w:sz w:val="22"/>
          <w:szCs w:val="22"/>
          <w:lang w:val="tr-TR"/>
        </w:rPr>
        <w:t>dahil</w:t>
      </w:r>
      <w:proofErr w:type="gramEnd"/>
      <w:r w:rsidR="00280E86" w:rsidRPr="000D6A4B">
        <w:rPr>
          <w:rFonts w:ascii="Calibri" w:hAnsi="Calibri" w:cs="Times"/>
          <w:sz w:val="22"/>
          <w:szCs w:val="22"/>
          <w:lang w:val="tr-TR"/>
        </w:rPr>
        <w:t xml:space="preserve">, milletvekilinin yasama göreviyle bir şekilde ilişkili her türlü sözü için geçerlidir. </w:t>
      </w:r>
      <w:r w:rsidR="00291F26" w:rsidRPr="000D6A4B">
        <w:rPr>
          <w:rFonts w:ascii="Calibri" w:hAnsi="Calibri" w:cs="Times"/>
          <w:sz w:val="22"/>
          <w:szCs w:val="22"/>
          <w:lang w:val="tr-TR"/>
        </w:rPr>
        <w:t xml:space="preserve">Bunun aksine başka ülkelerde, fikirlerin, komisyonlar </w:t>
      </w:r>
      <w:proofErr w:type="gramStart"/>
      <w:r w:rsidR="00291F26" w:rsidRPr="000D6A4B">
        <w:rPr>
          <w:rFonts w:ascii="Calibri" w:hAnsi="Calibri" w:cs="Times"/>
          <w:sz w:val="22"/>
          <w:szCs w:val="22"/>
          <w:lang w:val="tr-TR"/>
        </w:rPr>
        <w:t>dahil</w:t>
      </w:r>
      <w:proofErr w:type="gramEnd"/>
      <w:r w:rsidR="00291F26" w:rsidRPr="000D6A4B">
        <w:rPr>
          <w:rFonts w:ascii="Calibri" w:hAnsi="Calibri" w:cs="Times"/>
          <w:sz w:val="22"/>
          <w:szCs w:val="22"/>
          <w:lang w:val="tr-TR"/>
        </w:rPr>
        <w:t>, Mecliste ifade edilmesi gerekir</w:t>
      </w:r>
      <w:r w:rsidRPr="000D6A4B">
        <w:rPr>
          <w:rFonts w:ascii="Calibri" w:hAnsi="Calibri" w:cs="Times"/>
          <w:sz w:val="22"/>
          <w:szCs w:val="22"/>
          <w:lang w:val="tr-TR"/>
        </w:rPr>
        <w:t>.”</w:t>
      </w:r>
    </w:p>
    <w:p w:rsidR="00291F26" w:rsidRPr="000D6A4B" w:rsidRDefault="00B132D7" w:rsidP="00291F26">
      <w:pPr>
        <w:widowControl w:val="0"/>
        <w:autoSpaceDE w:val="0"/>
        <w:autoSpaceDN w:val="0"/>
        <w:adjustRightInd w:val="0"/>
        <w:spacing w:after="240"/>
        <w:rPr>
          <w:rFonts w:ascii="Calibri" w:hAnsi="Calibri" w:cs="Arial"/>
          <w:sz w:val="22"/>
          <w:szCs w:val="22"/>
          <w:lang w:val="tr-TR"/>
        </w:rPr>
      </w:pPr>
      <w:r w:rsidRPr="000D6A4B">
        <w:rPr>
          <w:rFonts w:ascii="Calibri" w:hAnsi="Calibri" w:cs="Arial"/>
          <w:sz w:val="22"/>
          <w:szCs w:val="22"/>
          <w:lang w:val="tr-TR"/>
        </w:rPr>
        <w:t xml:space="preserve">13. </w:t>
      </w:r>
      <w:r w:rsidR="00291F26" w:rsidRPr="000D6A4B">
        <w:rPr>
          <w:rFonts w:ascii="Calibri" w:hAnsi="Calibri" w:cs="Arial"/>
          <w:sz w:val="22"/>
          <w:szCs w:val="22"/>
          <w:lang w:val="tr-TR"/>
        </w:rPr>
        <w:t>Sorumsuzluk, Milletvekillerinin fikir ve konuşma özgürlüğünün güvence altına alınmasına odaklanır ve böylece meclis tartışmalarının özgürce yapılmasını kolaylaştırır</w:t>
      </w:r>
      <w:r w:rsidRPr="000D6A4B">
        <w:rPr>
          <w:rFonts w:ascii="Calibri" w:hAnsi="Calibri" w:cs="Arial"/>
          <w:sz w:val="22"/>
          <w:szCs w:val="22"/>
          <w:lang w:val="tr-TR"/>
        </w:rPr>
        <w:t>.</w:t>
      </w:r>
      <w:r w:rsidR="000F570E" w:rsidRPr="000D6A4B">
        <w:rPr>
          <w:rStyle w:val="DipnotBavurusu"/>
          <w:rFonts w:ascii="Calibri" w:hAnsi="Calibri" w:cs="Arial"/>
          <w:sz w:val="22"/>
          <w:szCs w:val="22"/>
          <w:lang w:val="tr-TR"/>
        </w:rPr>
        <w:footnoteReference w:id="5"/>
      </w:r>
      <w:r w:rsidR="00291F26" w:rsidRPr="000D6A4B">
        <w:rPr>
          <w:rFonts w:ascii="Calibri" w:hAnsi="Calibri" w:cs="Arial"/>
          <w:sz w:val="22"/>
          <w:szCs w:val="22"/>
          <w:lang w:val="tr-TR"/>
        </w:rPr>
        <w:t xml:space="preserve">Çoğu anayasada sorumsuzlukla ilgili hükümlere yer verilmiştir. </w:t>
      </w:r>
      <w:proofErr w:type="gramStart"/>
      <w:r w:rsidR="00291F26" w:rsidRPr="000D6A4B">
        <w:rPr>
          <w:rFonts w:ascii="Calibri" w:hAnsi="Calibri" w:cs="Arial"/>
          <w:sz w:val="22"/>
          <w:szCs w:val="22"/>
          <w:lang w:val="tr-TR"/>
        </w:rPr>
        <w:t xml:space="preserve">Venedik Komisyonu, ulusal anayasalarda ve uluslararası insan hakları belgelerinde ifade özgürlüğü ile ilgili genel hükümlerin yer almasına rağmen, </w:t>
      </w:r>
      <w:r w:rsidR="00223DEB" w:rsidRPr="000D6A4B">
        <w:rPr>
          <w:rFonts w:ascii="Calibri" w:hAnsi="Calibri" w:cs="Times"/>
          <w:sz w:val="22"/>
          <w:szCs w:val="22"/>
          <w:lang w:val="tr-TR"/>
        </w:rPr>
        <w:t>“</w:t>
      </w:r>
      <w:r w:rsidR="00291F26" w:rsidRPr="000D6A4B">
        <w:rPr>
          <w:rFonts w:ascii="Calibri" w:hAnsi="Calibri" w:cs="Arial"/>
          <w:sz w:val="22"/>
          <w:szCs w:val="22"/>
          <w:lang w:val="tr-TR"/>
        </w:rPr>
        <w:t xml:space="preserve">milletvekili sorumsuzluğu ile ilgili ulusal kuralların anayasa hukukunun meşru ögeleri olduğunu ve bunun demokratik yollarla seçilmiş temsili bir mecliste siyasi tartışma yürütme özgürlüğüne duyulan </w:t>
      </w:r>
      <w:r w:rsidR="00F6564E" w:rsidRPr="000D6A4B">
        <w:rPr>
          <w:rFonts w:ascii="Calibri" w:hAnsi="Calibri" w:cs="Arial"/>
          <w:sz w:val="22"/>
          <w:szCs w:val="22"/>
          <w:lang w:val="tr-TR"/>
        </w:rPr>
        <w:t xml:space="preserve">özel </w:t>
      </w:r>
      <w:r w:rsidR="00291F26" w:rsidRPr="000D6A4B">
        <w:rPr>
          <w:rFonts w:ascii="Calibri" w:hAnsi="Calibri" w:cs="Arial"/>
          <w:sz w:val="22"/>
          <w:szCs w:val="22"/>
          <w:lang w:val="tr-TR"/>
        </w:rPr>
        <w:t>ihtiya</w:t>
      </w:r>
      <w:r w:rsidR="00F6564E" w:rsidRPr="000D6A4B">
        <w:rPr>
          <w:rFonts w:ascii="Calibri" w:hAnsi="Calibri" w:cs="Arial"/>
          <w:sz w:val="22"/>
          <w:szCs w:val="22"/>
          <w:lang w:val="tr-TR"/>
        </w:rPr>
        <w:t>cın etkili bir şekilde karşılanması</w:t>
      </w:r>
      <w:r w:rsidR="00291F26" w:rsidRPr="000D6A4B">
        <w:rPr>
          <w:rFonts w:ascii="Calibri" w:hAnsi="Calibri" w:cs="Arial"/>
          <w:sz w:val="22"/>
          <w:szCs w:val="22"/>
          <w:lang w:val="tr-TR"/>
        </w:rPr>
        <w:t xml:space="preserve"> gerekçe</w:t>
      </w:r>
      <w:r w:rsidR="00F6564E" w:rsidRPr="000D6A4B">
        <w:rPr>
          <w:rFonts w:ascii="Calibri" w:hAnsi="Calibri" w:cs="Arial"/>
          <w:sz w:val="22"/>
          <w:szCs w:val="22"/>
          <w:lang w:val="tr-TR"/>
        </w:rPr>
        <w:t xml:space="preserve">sine </w:t>
      </w:r>
      <w:proofErr w:type="spellStart"/>
      <w:r w:rsidR="00F6564E" w:rsidRPr="000D6A4B">
        <w:rPr>
          <w:rFonts w:ascii="Calibri" w:hAnsi="Calibri" w:cs="Arial"/>
          <w:sz w:val="22"/>
          <w:szCs w:val="22"/>
          <w:lang w:val="tr-TR"/>
        </w:rPr>
        <w:t>dayandığını</w:t>
      </w:r>
      <w:r w:rsidR="00223DEB" w:rsidRPr="000D6A4B">
        <w:rPr>
          <w:rFonts w:ascii="Calibri" w:hAnsi="Calibri" w:cs="Arial"/>
          <w:sz w:val="22"/>
          <w:szCs w:val="22"/>
          <w:lang w:val="tr-TR"/>
        </w:rPr>
        <w:t>”ve</w:t>
      </w:r>
      <w:proofErr w:type="spellEnd"/>
      <w:r w:rsidR="00223DEB" w:rsidRPr="000D6A4B">
        <w:rPr>
          <w:rFonts w:ascii="Calibri" w:hAnsi="Calibri" w:cs="Arial"/>
          <w:sz w:val="22"/>
          <w:szCs w:val="22"/>
          <w:lang w:val="tr-TR"/>
        </w:rPr>
        <w:t xml:space="preserve"> </w:t>
      </w:r>
      <w:r w:rsidR="00223DEB" w:rsidRPr="000D6A4B">
        <w:rPr>
          <w:rFonts w:ascii="Calibri" w:hAnsi="Calibri" w:cs="Times"/>
          <w:sz w:val="22"/>
          <w:szCs w:val="22"/>
          <w:lang w:val="tr-TR"/>
        </w:rPr>
        <w:t>“</w:t>
      </w:r>
      <w:r w:rsidR="00853A64" w:rsidRPr="000D6A4B">
        <w:rPr>
          <w:rFonts w:ascii="Calibri" w:hAnsi="Calibri" w:cs="Times"/>
          <w:sz w:val="22"/>
          <w:szCs w:val="22"/>
          <w:lang w:val="tr-TR"/>
        </w:rPr>
        <w:t xml:space="preserve">günümüzde korumanın esas kapsamının çoğunlukla </w:t>
      </w:r>
      <w:proofErr w:type="spellStart"/>
      <w:r w:rsidR="00853A64" w:rsidRPr="000D6A4B">
        <w:rPr>
          <w:rFonts w:ascii="Calibri" w:hAnsi="Calibri" w:cs="Times"/>
          <w:sz w:val="22"/>
          <w:szCs w:val="22"/>
          <w:lang w:val="tr-TR"/>
        </w:rPr>
        <w:t>AİHS’in</w:t>
      </w:r>
      <w:proofErr w:type="spellEnd"/>
      <w:r w:rsidR="00853A64" w:rsidRPr="000D6A4B">
        <w:rPr>
          <w:rFonts w:ascii="Calibri" w:hAnsi="Calibri" w:cs="Times"/>
          <w:sz w:val="22"/>
          <w:szCs w:val="22"/>
          <w:lang w:val="tr-TR"/>
        </w:rPr>
        <w:t xml:space="preserve"> 10. Maddesinde yer almasına rağmen, milletvekili sorumsuzluğu ile ilgili ulusal kurallara hala ihtiyaç </w:t>
      </w:r>
      <w:proofErr w:type="spellStart"/>
      <w:r w:rsidR="00853A64" w:rsidRPr="000D6A4B">
        <w:rPr>
          <w:rFonts w:ascii="Calibri" w:hAnsi="Calibri" w:cs="Times"/>
          <w:sz w:val="22"/>
          <w:szCs w:val="22"/>
          <w:lang w:val="tr-TR"/>
        </w:rPr>
        <w:t>olduğunu</w:t>
      </w:r>
      <w:r w:rsidR="00853A64" w:rsidRPr="000D6A4B">
        <w:rPr>
          <w:rFonts w:ascii="Calibri" w:hAnsi="Calibri" w:cs="Arial"/>
          <w:sz w:val="22"/>
          <w:szCs w:val="22"/>
          <w:lang w:val="tr-TR"/>
        </w:rPr>
        <w:t>”</w:t>
      </w:r>
      <w:r w:rsidR="00291F26" w:rsidRPr="000D6A4B">
        <w:rPr>
          <w:rFonts w:ascii="Calibri" w:hAnsi="Calibri" w:cs="Arial"/>
          <w:sz w:val="22"/>
          <w:szCs w:val="22"/>
          <w:lang w:val="tr-TR"/>
        </w:rPr>
        <w:t>ileri</w:t>
      </w:r>
      <w:proofErr w:type="spellEnd"/>
      <w:r w:rsidR="00291F26" w:rsidRPr="000D6A4B">
        <w:rPr>
          <w:rFonts w:ascii="Calibri" w:hAnsi="Calibri" w:cs="Arial"/>
          <w:sz w:val="22"/>
          <w:szCs w:val="22"/>
          <w:lang w:val="tr-TR"/>
        </w:rPr>
        <w:t xml:space="preserve"> sürmüştür.</w:t>
      </w:r>
      <w:proofErr w:type="gramEnd"/>
      <w:r w:rsidR="000F570E" w:rsidRPr="000D6A4B">
        <w:rPr>
          <w:rStyle w:val="DipnotBavurusu"/>
          <w:rFonts w:ascii="Calibri" w:hAnsi="Calibri" w:cs="Arial"/>
          <w:sz w:val="22"/>
          <w:szCs w:val="22"/>
          <w:lang w:val="tr-TR"/>
        </w:rPr>
        <w:footnoteReference w:id="6"/>
      </w:r>
    </w:p>
    <w:p w:rsidR="00291F26" w:rsidRPr="000D6A4B" w:rsidRDefault="00291F26" w:rsidP="00291F26">
      <w:pPr>
        <w:widowControl w:val="0"/>
        <w:autoSpaceDE w:val="0"/>
        <w:autoSpaceDN w:val="0"/>
        <w:adjustRightInd w:val="0"/>
        <w:spacing w:after="240"/>
        <w:rPr>
          <w:rFonts w:ascii="Calibri" w:hAnsi="Calibri" w:cs="Arial"/>
          <w:sz w:val="22"/>
          <w:szCs w:val="22"/>
          <w:lang w:val="tr-TR"/>
        </w:rPr>
      </w:pPr>
      <w:r w:rsidRPr="000D6A4B">
        <w:rPr>
          <w:rFonts w:ascii="Calibri" w:hAnsi="Calibri" w:cs="Arial"/>
          <w:sz w:val="22"/>
          <w:szCs w:val="22"/>
          <w:lang w:val="tr-TR"/>
        </w:rPr>
        <w:t xml:space="preserve">14. </w:t>
      </w:r>
      <w:r w:rsidR="00233815" w:rsidRPr="000D6A4B">
        <w:rPr>
          <w:rFonts w:ascii="Calibri" w:hAnsi="Calibri" w:cs="Arial"/>
          <w:sz w:val="22"/>
          <w:szCs w:val="22"/>
          <w:lang w:val="tr-TR"/>
        </w:rPr>
        <w:t>Raporda yer alan karşılaştırmalı anayasa analizi</w:t>
      </w:r>
      <w:r w:rsidR="00047663" w:rsidRPr="000D6A4B">
        <w:rPr>
          <w:rFonts w:ascii="Calibri" w:hAnsi="Calibri" w:cs="Arial"/>
          <w:sz w:val="22"/>
          <w:szCs w:val="22"/>
          <w:lang w:val="tr-TR"/>
        </w:rPr>
        <w:t>,</w:t>
      </w:r>
      <w:r w:rsidR="000F570E" w:rsidRPr="000D6A4B">
        <w:rPr>
          <w:rStyle w:val="DipnotBavurusu"/>
          <w:rFonts w:ascii="Calibri" w:hAnsi="Calibri" w:cs="Arial"/>
          <w:sz w:val="22"/>
          <w:szCs w:val="22"/>
          <w:lang w:val="tr-TR"/>
        </w:rPr>
        <w:footnoteReference w:id="7"/>
      </w:r>
      <w:r w:rsidR="00FB2942" w:rsidRPr="000D6A4B">
        <w:rPr>
          <w:rFonts w:ascii="Calibri" w:hAnsi="Calibri" w:cs="Arial"/>
          <w:sz w:val="22"/>
          <w:szCs w:val="22"/>
          <w:lang w:val="tr-TR"/>
        </w:rPr>
        <w:t xml:space="preserve">yasama dokunulmazlığının </w:t>
      </w:r>
      <w:r w:rsidR="00233815" w:rsidRPr="000D6A4B">
        <w:rPr>
          <w:rFonts w:ascii="Calibri" w:hAnsi="Calibri" w:cs="Arial"/>
          <w:sz w:val="22"/>
          <w:szCs w:val="22"/>
          <w:lang w:val="tr-TR"/>
        </w:rPr>
        <w:t>yasama</w:t>
      </w:r>
      <w:r w:rsidR="00FB2942" w:rsidRPr="000D6A4B">
        <w:rPr>
          <w:rFonts w:ascii="Calibri" w:hAnsi="Calibri" w:cs="Arial"/>
          <w:sz w:val="22"/>
          <w:szCs w:val="22"/>
          <w:lang w:val="tr-TR"/>
        </w:rPr>
        <w:t xml:space="preserve"> sorumsuzluğuna kıyasla daha az yaygın olduğunu göstermektedir. </w:t>
      </w:r>
      <w:r w:rsidR="003C09F1" w:rsidRPr="000D6A4B">
        <w:rPr>
          <w:rFonts w:ascii="Calibri" w:hAnsi="Calibri" w:cs="Arial"/>
          <w:sz w:val="22"/>
          <w:szCs w:val="22"/>
          <w:lang w:val="tr-TR"/>
        </w:rPr>
        <w:t>Köklü</w:t>
      </w:r>
      <w:r w:rsidR="00FB2942" w:rsidRPr="000D6A4B">
        <w:rPr>
          <w:rFonts w:ascii="Calibri" w:hAnsi="Calibri" w:cs="Arial"/>
          <w:sz w:val="22"/>
          <w:szCs w:val="22"/>
          <w:lang w:val="tr-TR"/>
        </w:rPr>
        <w:t xml:space="preserve"> demokrasilerde yürütme erkinden</w:t>
      </w:r>
      <w:r w:rsidR="003C09F1" w:rsidRPr="000D6A4B">
        <w:rPr>
          <w:rFonts w:ascii="Calibri" w:hAnsi="Calibri" w:cs="Arial"/>
          <w:sz w:val="22"/>
          <w:szCs w:val="22"/>
          <w:lang w:val="tr-TR"/>
        </w:rPr>
        <w:t xml:space="preserve"> -savcılar </w:t>
      </w:r>
      <w:proofErr w:type="gramStart"/>
      <w:r w:rsidR="003C09F1" w:rsidRPr="000D6A4B">
        <w:rPr>
          <w:rFonts w:ascii="Calibri" w:hAnsi="Calibri" w:cs="Arial"/>
          <w:sz w:val="22"/>
          <w:szCs w:val="22"/>
          <w:lang w:val="tr-TR"/>
        </w:rPr>
        <w:t>dahil</w:t>
      </w:r>
      <w:proofErr w:type="gramEnd"/>
      <w:r w:rsidR="003C09F1" w:rsidRPr="000D6A4B">
        <w:rPr>
          <w:rFonts w:ascii="Calibri" w:hAnsi="Calibri" w:cs="Arial"/>
          <w:sz w:val="22"/>
          <w:szCs w:val="22"/>
          <w:lang w:val="tr-TR"/>
        </w:rPr>
        <w:t xml:space="preserve">- </w:t>
      </w:r>
      <w:r w:rsidR="00FB2942" w:rsidRPr="000D6A4B">
        <w:rPr>
          <w:rFonts w:ascii="Calibri" w:hAnsi="Calibri" w:cs="Arial"/>
          <w:sz w:val="22"/>
          <w:szCs w:val="22"/>
          <w:lang w:val="tr-TR"/>
        </w:rPr>
        <w:t xml:space="preserve"> gelebilecek olası tacizler </w:t>
      </w:r>
      <w:r w:rsidR="00047663" w:rsidRPr="000D6A4B">
        <w:rPr>
          <w:rFonts w:ascii="Calibri" w:hAnsi="Calibri" w:cs="Arial"/>
          <w:sz w:val="22"/>
          <w:szCs w:val="22"/>
          <w:lang w:val="tr-TR"/>
        </w:rPr>
        <w:t>eski önemini</w:t>
      </w:r>
      <w:r w:rsidR="00BC7DC2" w:rsidRPr="000D6A4B">
        <w:rPr>
          <w:rFonts w:ascii="Calibri" w:hAnsi="Calibri" w:cs="Arial"/>
          <w:sz w:val="22"/>
          <w:szCs w:val="22"/>
          <w:lang w:val="tr-TR"/>
        </w:rPr>
        <w:t xml:space="preserve"> kısmen kaybetmiş</w:t>
      </w:r>
      <w:r w:rsidR="003C09F1" w:rsidRPr="000D6A4B">
        <w:rPr>
          <w:rFonts w:ascii="Calibri" w:hAnsi="Calibri" w:cs="Arial"/>
          <w:sz w:val="22"/>
          <w:szCs w:val="22"/>
          <w:lang w:val="tr-TR"/>
        </w:rPr>
        <w:t xml:space="preserve"> olup </w:t>
      </w:r>
      <w:r w:rsidR="00FB2942" w:rsidRPr="000D6A4B">
        <w:rPr>
          <w:rFonts w:ascii="Calibri" w:hAnsi="Calibri" w:cs="Arial"/>
          <w:sz w:val="22"/>
          <w:szCs w:val="22"/>
          <w:lang w:val="tr-TR"/>
        </w:rPr>
        <w:t xml:space="preserve">dokunulmazlığın kaçınılmaz olarak </w:t>
      </w:r>
      <w:r w:rsidR="00BC7DC2" w:rsidRPr="000D6A4B">
        <w:rPr>
          <w:rFonts w:ascii="Calibri" w:hAnsi="Calibri" w:cs="Arial"/>
          <w:sz w:val="22"/>
          <w:szCs w:val="22"/>
          <w:lang w:val="tr-TR"/>
        </w:rPr>
        <w:t>beraberinde getirdiği</w:t>
      </w:r>
      <w:r w:rsidR="00FB2942" w:rsidRPr="000D6A4B">
        <w:rPr>
          <w:rFonts w:ascii="Calibri" w:hAnsi="Calibri" w:cs="Arial"/>
          <w:sz w:val="22"/>
          <w:szCs w:val="22"/>
          <w:lang w:val="tr-TR"/>
        </w:rPr>
        <w:t xml:space="preserve"> eşitlik ilkesi</w:t>
      </w:r>
      <w:r w:rsidR="00047663" w:rsidRPr="000D6A4B">
        <w:rPr>
          <w:rFonts w:ascii="Calibri" w:hAnsi="Calibri" w:cs="Arial"/>
          <w:sz w:val="22"/>
          <w:szCs w:val="22"/>
          <w:lang w:val="tr-TR"/>
        </w:rPr>
        <w:t xml:space="preserve">nden </w:t>
      </w:r>
      <w:r w:rsidR="00BC7DC2" w:rsidRPr="000D6A4B">
        <w:rPr>
          <w:rFonts w:ascii="Calibri" w:hAnsi="Calibri" w:cs="Arial"/>
          <w:sz w:val="22"/>
          <w:szCs w:val="22"/>
          <w:lang w:val="tr-TR"/>
        </w:rPr>
        <w:t xml:space="preserve">muaf tutulma </w:t>
      </w:r>
      <w:r w:rsidR="003C09F1" w:rsidRPr="000D6A4B">
        <w:rPr>
          <w:rFonts w:ascii="Calibri" w:hAnsi="Calibri" w:cs="Arial"/>
          <w:sz w:val="22"/>
          <w:szCs w:val="22"/>
          <w:lang w:val="tr-TR"/>
        </w:rPr>
        <w:t xml:space="preserve">haline gerekçe olarak görülmemektedir. Her durumda dokunulmazlık geçidir ve </w:t>
      </w:r>
      <w:r w:rsidR="003C09F1" w:rsidRPr="000D6A4B">
        <w:rPr>
          <w:rFonts w:ascii="Calibri" w:hAnsi="Calibri" w:cs="Times"/>
          <w:sz w:val="22"/>
          <w:szCs w:val="22"/>
          <w:lang w:val="tr-TR"/>
        </w:rPr>
        <w:t xml:space="preserve">Milletvekilinin görevi sona erdikten sonra adli süreç devam edebilir. </w:t>
      </w:r>
    </w:p>
    <w:p w:rsidR="00291F26" w:rsidRPr="000D6A4B" w:rsidRDefault="00291F26" w:rsidP="00291F26">
      <w:pPr>
        <w:widowControl w:val="0"/>
        <w:autoSpaceDE w:val="0"/>
        <w:autoSpaceDN w:val="0"/>
        <w:adjustRightInd w:val="0"/>
        <w:spacing w:after="240"/>
        <w:rPr>
          <w:rFonts w:ascii="Calibri" w:hAnsi="Calibri" w:cs="Arial"/>
          <w:sz w:val="22"/>
          <w:szCs w:val="22"/>
          <w:lang w:val="tr-TR"/>
        </w:rPr>
      </w:pPr>
      <w:r w:rsidRPr="000D6A4B">
        <w:rPr>
          <w:rFonts w:ascii="Calibri" w:hAnsi="Calibri" w:cs="Arial"/>
          <w:sz w:val="22"/>
          <w:szCs w:val="22"/>
          <w:lang w:val="tr-TR"/>
        </w:rPr>
        <w:t xml:space="preserve">15. </w:t>
      </w:r>
      <w:r w:rsidR="00D97738" w:rsidRPr="000D6A4B">
        <w:rPr>
          <w:rFonts w:ascii="Calibri" w:hAnsi="Calibri" w:cs="Arial"/>
          <w:sz w:val="22"/>
          <w:szCs w:val="22"/>
          <w:lang w:val="tr-TR"/>
        </w:rPr>
        <w:t xml:space="preserve">Raporda işaret edildiği üzere </w:t>
      </w:r>
      <w:proofErr w:type="gramStart"/>
      <w:r w:rsidR="00D97738" w:rsidRPr="000D6A4B">
        <w:rPr>
          <w:rFonts w:ascii="Calibri" w:hAnsi="Calibri" w:cs="Arial"/>
          <w:sz w:val="22"/>
          <w:szCs w:val="22"/>
          <w:lang w:val="tr-TR"/>
        </w:rPr>
        <w:t>(</w:t>
      </w:r>
      <w:proofErr w:type="gramEnd"/>
      <w:r w:rsidR="00D97738" w:rsidRPr="000D6A4B">
        <w:rPr>
          <w:rFonts w:ascii="Calibri" w:hAnsi="Calibri" w:cs="Arial"/>
          <w:sz w:val="22"/>
          <w:szCs w:val="22"/>
          <w:lang w:val="tr-TR"/>
        </w:rPr>
        <w:t>par. 152), “yasama dokunulmazlığı ile ilgili kuralların konmasının temel tarihsel gerekçesi, bir kurum ola</w:t>
      </w:r>
      <w:r w:rsidR="0072699A" w:rsidRPr="000D6A4B">
        <w:rPr>
          <w:rFonts w:ascii="Calibri" w:hAnsi="Calibri" w:cs="Arial"/>
          <w:sz w:val="22"/>
          <w:szCs w:val="22"/>
          <w:lang w:val="tr-TR"/>
        </w:rPr>
        <w:t>rak parlamentonun çalışmalarını</w:t>
      </w:r>
      <w:r w:rsidR="00D97738" w:rsidRPr="000D6A4B">
        <w:rPr>
          <w:rFonts w:ascii="Calibri" w:hAnsi="Calibri" w:cs="Arial"/>
          <w:sz w:val="22"/>
          <w:szCs w:val="22"/>
          <w:lang w:val="tr-TR"/>
        </w:rPr>
        <w:t xml:space="preserve">, yürütme erkinin bir parçası olan savcı </w:t>
      </w:r>
      <w:proofErr w:type="gramStart"/>
      <w:r w:rsidR="00D97738" w:rsidRPr="000D6A4B">
        <w:rPr>
          <w:rFonts w:ascii="Calibri" w:hAnsi="Calibri" w:cs="Arial"/>
          <w:sz w:val="22"/>
          <w:szCs w:val="22"/>
          <w:lang w:val="tr-TR"/>
        </w:rPr>
        <w:t>dahil</w:t>
      </w:r>
      <w:proofErr w:type="gramEnd"/>
      <w:r w:rsidR="0072699A" w:rsidRPr="000D6A4B">
        <w:rPr>
          <w:rFonts w:ascii="Calibri" w:hAnsi="Calibri" w:cs="Arial"/>
          <w:sz w:val="22"/>
          <w:szCs w:val="22"/>
          <w:lang w:val="tr-TR"/>
        </w:rPr>
        <w:t>,</w:t>
      </w:r>
      <w:r w:rsidR="00D97738" w:rsidRPr="000D6A4B">
        <w:rPr>
          <w:rFonts w:ascii="Calibri" w:hAnsi="Calibri" w:cs="Arial"/>
          <w:sz w:val="22"/>
          <w:szCs w:val="22"/>
          <w:lang w:val="tr-TR"/>
        </w:rPr>
        <w:t xml:space="preserve"> yürütmeden (Kral) gelebilecek gereksiz baskıya karşı </w:t>
      </w:r>
      <w:r w:rsidR="0072699A" w:rsidRPr="000D6A4B">
        <w:rPr>
          <w:rFonts w:ascii="Calibri" w:hAnsi="Calibri" w:cs="Arial"/>
          <w:sz w:val="22"/>
          <w:szCs w:val="22"/>
          <w:lang w:val="tr-TR"/>
        </w:rPr>
        <w:t>korumaktır</w:t>
      </w:r>
      <w:r w:rsidR="00D97738" w:rsidRPr="000D6A4B">
        <w:rPr>
          <w:rFonts w:ascii="Calibri" w:hAnsi="Calibri" w:cs="Arial"/>
          <w:sz w:val="22"/>
          <w:szCs w:val="22"/>
          <w:lang w:val="tr-TR"/>
        </w:rPr>
        <w:t>. Bu gerekçe aynı zamanda, genellikle azınlıkta olan, parlamentodaki muhalefetin</w:t>
      </w:r>
      <w:r w:rsidR="0072699A" w:rsidRPr="000D6A4B">
        <w:rPr>
          <w:rFonts w:ascii="Calibri" w:hAnsi="Calibri" w:cs="Arial"/>
          <w:sz w:val="22"/>
          <w:szCs w:val="22"/>
          <w:lang w:val="tr-TR"/>
        </w:rPr>
        <w:t>,</w:t>
      </w:r>
      <w:r w:rsidR="00D97738" w:rsidRPr="000D6A4B">
        <w:rPr>
          <w:rFonts w:ascii="Calibri" w:hAnsi="Calibri" w:cs="Arial"/>
          <w:sz w:val="22"/>
          <w:szCs w:val="22"/>
          <w:lang w:val="tr-TR"/>
        </w:rPr>
        <w:t xml:space="preserve"> iktidardaki çoğunluktan gelebilecek gereksiz baskılara karşı korunmasını </w:t>
      </w:r>
      <w:r w:rsidR="0072699A" w:rsidRPr="000D6A4B">
        <w:rPr>
          <w:rFonts w:ascii="Calibri" w:hAnsi="Calibri" w:cs="Arial"/>
          <w:sz w:val="22"/>
          <w:szCs w:val="22"/>
          <w:lang w:val="tr-TR"/>
        </w:rPr>
        <w:t xml:space="preserve">da </w:t>
      </w:r>
      <w:r w:rsidR="00D97738" w:rsidRPr="000D6A4B">
        <w:rPr>
          <w:rFonts w:ascii="Calibri" w:hAnsi="Calibri" w:cs="Arial"/>
          <w:sz w:val="22"/>
          <w:szCs w:val="22"/>
          <w:lang w:val="tr-TR"/>
        </w:rPr>
        <w:t xml:space="preserve">kapsamaktadır. Ayrıca, </w:t>
      </w:r>
      <w:r w:rsidR="0072699A" w:rsidRPr="000D6A4B">
        <w:rPr>
          <w:rFonts w:ascii="Calibri" w:hAnsi="Calibri" w:cs="Arial"/>
          <w:sz w:val="22"/>
          <w:szCs w:val="22"/>
          <w:lang w:val="tr-TR"/>
        </w:rPr>
        <w:t>milletvekillerinin başka siyasi partilerden gelebilecek, örneğin, siyasi muhaliflerden gelebilecek asılsız suç iddiaları şeklindeki tacizlere karşı korur</w:t>
      </w:r>
      <w:r w:rsidRPr="000D6A4B">
        <w:rPr>
          <w:rFonts w:ascii="Calibri" w:hAnsi="Calibri" w:cs="Arial"/>
          <w:sz w:val="22"/>
          <w:szCs w:val="22"/>
          <w:lang w:val="tr-TR"/>
        </w:rPr>
        <w:t xml:space="preserve">.” </w:t>
      </w:r>
      <w:r w:rsidR="0072699A" w:rsidRPr="000D6A4B">
        <w:rPr>
          <w:rFonts w:ascii="Calibri" w:hAnsi="Calibri" w:cs="Arial"/>
          <w:sz w:val="22"/>
          <w:szCs w:val="22"/>
          <w:lang w:val="tr-TR"/>
        </w:rPr>
        <w:t>Bu temelde, “Venedik Komisyonu, çoğu modern Avrupa demokrasisinde dokunulmazlığa ilişkin bu gerekçelerin sorunlardan ari olmadığını belirtmiştir</w:t>
      </w:r>
      <w:r w:rsidRPr="000D6A4B">
        <w:rPr>
          <w:rFonts w:ascii="Calibri" w:hAnsi="Calibri" w:cs="Arial"/>
          <w:sz w:val="22"/>
          <w:szCs w:val="22"/>
          <w:lang w:val="tr-TR"/>
        </w:rPr>
        <w:t>.”</w:t>
      </w:r>
    </w:p>
    <w:p w:rsidR="00291F26" w:rsidRPr="000D6A4B" w:rsidRDefault="00291F26" w:rsidP="00291F26">
      <w:pPr>
        <w:widowControl w:val="0"/>
        <w:autoSpaceDE w:val="0"/>
        <w:autoSpaceDN w:val="0"/>
        <w:adjustRightInd w:val="0"/>
        <w:spacing w:after="240"/>
        <w:rPr>
          <w:rFonts w:ascii="Calibri" w:hAnsi="Calibri" w:cs="Arial"/>
          <w:sz w:val="22"/>
          <w:szCs w:val="22"/>
          <w:lang w:val="tr-TR"/>
        </w:rPr>
      </w:pPr>
      <w:r w:rsidRPr="000D6A4B">
        <w:rPr>
          <w:rFonts w:ascii="Calibri" w:hAnsi="Calibri" w:cs="Arial"/>
          <w:sz w:val="22"/>
          <w:szCs w:val="22"/>
          <w:lang w:val="tr-TR"/>
        </w:rPr>
        <w:t xml:space="preserve">16. </w:t>
      </w:r>
      <w:r w:rsidR="00537BF7" w:rsidRPr="000D6A4B">
        <w:rPr>
          <w:rFonts w:ascii="Calibri" w:hAnsi="Calibri" w:cs="Arial"/>
          <w:sz w:val="22"/>
          <w:szCs w:val="22"/>
          <w:lang w:val="tr-TR"/>
        </w:rPr>
        <w:t>Venedik Komisyonu şu halde, yargıya ve savcılık hizmetlerine güven duyulan köklü demokrasilerde yasama dokunulmazlığına duyulan ihtiyaç konusunda ikna olmamış olsa dahi, bazı ülkelerde bu korumaya ihtiyaç duyulduğunu kabul etmektedir</w:t>
      </w:r>
      <w:r w:rsidRPr="000D6A4B">
        <w:rPr>
          <w:rFonts w:ascii="Calibri" w:hAnsi="Calibri" w:cs="Arial"/>
          <w:sz w:val="22"/>
          <w:szCs w:val="22"/>
          <w:lang w:val="tr-TR"/>
        </w:rPr>
        <w:t>: “</w:t>
      </w:r>
      <w:r w:rsidR="00537BF7" w:rsidRPr="000D6A4B">
        <w:rPr>
          <w:rFonts w:ascii="Calibri" w:hAnsi="Calibri" w:cs="Arial"/>
          <w:sz w:val="22"/>
          <w:szCs w:val="22"/>
          <w:lang w:val="tr-TR"/>
        </w:rPr>
        <w:t>bazı ülkelerde</w:t>
      </w:r>
      <w:r w:rsidR="00250CF3" w:rsidRPr="000D6A4B">
        <w:rPr>
          <w:rFonts w:ascii="Calibri" w:hAnsi="Calibri" w:cs="Arial"/>
          <w:sz w:val="22"/>
          <w:szCs w:val="22"/>
          <w:lang w:val="tr-TR"/>
        </w:rPr>
        <w:t>,</w:t>
      </w:r>
      <w:r w:rsidR="00537BF7" w:rsidRPr="000D6A4B">
        <w:rPr>
          <w:rFonts w:ascii="Calibri" w:hAnsi="Calibri" w:cs="Arial"/>
          <w:sz w:val="22"/>
          <w:szCs w:val="22"/>
          <w:lang w:val="tr-TR"/>
        </w:rPr>
        <w:t xml:space="preserve"> hukuk sisteminin kötüye kullanılmasına karşı yasama dokunulmazlığına </w:t>
      </w:r>
      <w:r w:rsidR="00250CF3" w:rsidRPr="000D6A4B">
        <w:rPr>
          <w:rFonts w:ascii="Calibri" w:hAnsi="Calibri" w:cs="Arial"/>
          <w:sz w:val="22"/>
          <w:szCs w:val="22"/>
          <w:lang w:val="tr-TR"/>
        </w:rPr>
        <w:t>ilişkin</w:t>
      </w:r>
      <w:r w:rsidR="00537BF7" w:rsidRPr="000D6A4B">
        <w:rPr>
          <w:rFonts w:ascii="Calibri" w:hAnsi="Calibri" w:cs="Arial"/>
          <w:sz w:val="22"/>
          <w:szCs w:val="22"/>
          <w:lang w:val="tr-TR"/>
        </w:rPr>
        <w:t xml:space="preserve"> kuralların sağladığı korumaya </w:t>
      </w:r>
      <w:r w:rsidR="00250CF3" w:rsidRPr="000D6A4B">
        <w:rPr>
          <w:rFonts w:ascii="Calibri" w:hAnsi="Calibri" w:cs="Arial"/>
          <w:sz w:val="22"/>
          <w:szCs w:val="22"/>
          <w:lang w:val="tr-TR"/>
        </w:rPr>
        <w:t xml:space="preserve">halen esaslı bir ihtiyaç duyulabilir. Gerçek demokrasiye geçiş sürecinde olan bazı ülkelerde veya demokrasinin hala nispeten yeni ve kırılgan olduğu ülkelerde, milletvekilleri dahil olmak üzere siyasi muhalifleri itibarsızlaştırmak, cezalandırmak veya yok etmek </w:t>
      </w:r>
      <w:proofErr w:type="gramStart"/>
      <w:r w:rsidR="00250CF3" w:rsidRPr="000D6A4B">
        <w:rPr>
          <w:rFonts w:ascii="Calibri" w:hAnsi="Calibri" w:cs="Arial"/>
          <w:sz w:val="22"/>
          <w:szCs w:val="22"/>
          <w:lang w:val="tr-TR"/>
        </w:rPr>
        <w:t>için  polis</w:t>
      </w:r>
      <w:proofErr w:type="gramEnd"/>
      <w:r w:rsidR="00250CF3" w:rsidRPr="000D6A4B">
        <w:rPr>
          <w:rFonts w:ascii="Calibri" w:hAnsi="Calibri" w:cs="Arial"/>
          <w:sz w:val="22"/>
          <w:szCs w:val="22"/>
          <w:lang w:val="tr-TR"/>
        </w:rPr>
        <w:t xml:space="preserve"> veya savcılık yetkilerinin kullanıldığı olaylara ilişkin deneyimler vardır. Ayrıca, yargı erkinin bağımsız </w:t>
      </w:r>
      <w:r w:rsidR="00250CF3" w:rsidRPr="000D6A4B">
        <w:rPr>
          <w:rFonts w:ascii="Calibri" w:hAnsi="Calibri" w:cs="Arial"/>
          <w:sz w:val="22"/>
          <w:szCs w:val="22"/>
          <w:lang w:val="tr-TR"/>
        </w:rPr>
        <w:lastRenderedPageBreak/>
        <w:t>davranacağı ve yürütmeden uygunsuz şekilde etkilenmeyeceğine her devlette güven duyulmayabilmektedir. Bazı ülkelerde, muhalefet başta olmak üzere milletvekilleri, asılsız hukuki iddialar şeklinde yöneltilen siyasi tacizler karşısında sıradan vatandaşların olmadığı bir şekilde savunmasız kalabilmektedir</w:t>
      </w:r>
      <w:r w:rsidRPr="000D6A4B">
        <w:rPr>
          <w:rFonts w:ascii="Calibri" w:hAnsi="Calibri" w:cs="Arial"/>
          <w:sz w:val="22"/>
          <w:szCs w:val="22"/>
          <w:lang w:val="tr-TR"/>
        </w:rPr>
        <w:t xml:space="preserve">.” </w:t>
      </w:r>
      <w:proofErr w:type="gramStart"/>
      <w:r w:rsidRPr="000D6A4B">
        <w:rPr>
          <w:rFonts w:ascii="Calibri" w:hAnsi="Calibri" w:cs="Arial"/>
          <w:sz w:val="22"/>
          <w:szCs w:val="22"/>
          <w:lang w:val="tr-TR"/>
        </w:rPr>
        <w:t>(</w:t>
      </w:r>
      <w:proofErr w:type="gramEnd"/>
      <w:r w:rsidRPr="000D6A4B">
        <w:rPr>
          <w:rFonts w:ascii="Calibri" w:hAnsi="Calibri" w:cs="Arial"/>
          <w:sz w:val="22"/>
          <w:szCs w:val="22"/>
          <w:lang w:val="tr-TR"/>
        </w:rPr>
        <w:t>par. 154).</w:t>
      </w:r>
    </w:p>
    <w:p w:rsidR="00291F26" w:rsidRPr="000D6A4B" w:rsidRDefault="00291F26" w:rsidP="00291F26">
      <w:pPr>
        <w:widowControl w:val="0"/>
        <w:autoSpaceDE w:val="0"/>
        <w:autoSpaceDN w:val="0"/>
        <w:adjustRightInd w:val="0"/>
        <w:spacing w:after="240"/>
        <w:rPr>
          <w:rFonts w:ascii="Calibri" w:hAnsi="Calibri" w:cs="Arial"/>
          <w:sz w:val="22"/>
          <w:szCs w:val="22"/>
          <w:lang w:val="tr-TR"/>
        </w:rPr>
      </w:pPr>
      <w:r w:rsidRPr="000D6A4B">
        <w:rPr>
          <w:rFonts w:ascii="Calibri" w:hAnsi="Calibri" w:cs="Arial"/>
          <w:sz w:val="22"/>
          <w:szCs w:val="22"/>
          <w:lang w:val="tr-TR"/>
        </w:rPr>
        <w:t xml:space="preserve">17. </w:t>
      </w:r>
      <w:r w:rsidR="00B424AB" w:rsidRPr="000D6A4B">
        <w:rPr>
          <w:rFonts w:ascii="Calibri" w:hAnsi="Calibri" w:cs="Arial"/>
          <w:sz w:val="22"/>
          <w:szCs w:val="22"/>
          <w:lang w:val="tr-TR"/>
        </w:rPr>
        <w:t xml:space="preserve">Bu nedenlerle, Haziran 2015’te kabul edilen Ukrayna Milletvekili ve </w:t>
      </w:r>
      <w:proofErr w:type="gramStart"/>
      <w:r w:rsidR="00B424AB" w:rsidRPr="000D6A4B">
        <w:rPr>
          <w:rFonts w:ascii="Calibri" w:hAnsi="Calibri" w:cs="Arial"/>
          <w:sz w:val="22"/>
          <w:szCs w:val="22"/>
          <w:lang w:val="tr-TR"/>
        </w:rPr>
        <w:t>Hakimlerin</w:t>
      </w:r>
      <w:proofErr w:type="gramEnd"/>
      <w:r w:rsidR="00B424AB" w:rsidRPr="000D6A4B">
        <w:rPr>
          <w:rFonts w:ascii="Calibri" w:hAnsi="Calibri" w:cs="Arial"/>
          <w:sz w:val="22"/>
          <w:szCs w:val="22"/>
          <w:lang w:val="tr-TR"/>
        </w:rPr>
        <w:t xml:space="preserve"> Dokunulmazlığı hakkındaki anayasa değişikliği taslağı üzerine sunduğu Görüş’te, Venedik Komisyonu, ülkede dokunulmazlığın korunması yolunda tavsiyede bulunmuştur.</w:t>
      </w:r>
      <w:r w:rsidR="000F570E" w:rsidRPr="000D6A4B">
        <w:rPr>
          <w:rStyle w:val="DipnotBavurusu"/>
          <w:rFonts w:ascii="Calibri" w:hAnsi="Calibri" w:cs="Arial"/>
          <w:sz w:val="22"/>
          <w:szCs w:val="22"/>
          <w:lang w:val="tr-TR"/>
        </w:rPr>
        <w:footnoteReference w:id="8"/>
      </w:r>
    </w:p>
    <w:p w:rsidR="00B424AB" w:rsidRPr="00DE7441" w:rsidRDefault="00291F26" w:rsidP="002130BE">
      <w:pPr>
        <w:pStyle w:val="Balk1"/>
      </w:pPr>
      <w:bookmarkStart w:id="4" w:name="_Toc341526726"/>
      <w:r w:rsidRPr="00DE7441">
        <w:t xml:space="preserve">IV. </w:t>
      </w:r>
      <w:r w:rsidR="00B424AB" w:rsidRPr="00DE7441">
        <w:t>Türkiye’</w:t>
      </w:r>
      <w:r w:rsidR="00C435D0" w:rsidRPr="00DE7441">
        <w:t>de yasama d</w:t>
      </w:r>
      <w:r w:rsidR="00B424AB" w:rsidRPr="00DE7441">
        <w:t>okunulmaz</w:t>
      </w:r>
      <w:r w:rsidR="00C435D0" w:rsidRPr="00DE7441">
        <w:t xml:space="preserve">lığının kaldırılmasına yönelik standart </w:t>
      </w:r>
      <w:proofErr w:type="gramStart"/>
      <w:r w:rsidR="00C435D0" w:rsidRPr="00DE7441">
        <w:t>p</w:t>
      </w:r>
      <w:r w:rsidR="00B424AB" w:rsidRPr="00DE7441">
        <w:t>rosedür</w:t>
      </w:r>
      <w:bookmarkEnd w:id="4"/>
      <w:proofErr w:type="gramEnd"/>
    </w:p>
    <w:p w:rsidR="00291F26" w:rsidRPr="00DE7441" w:rsidRDefault="00B424AB" w:rsidP="002130BE">
      <w:pPr>
        <w:pStyle w:val="Balk2"/>
        <w:numPr>
          <w:ilvl w:val="0"/>
          <w:numId w:val="2"/>
        </w:numPr>
        <w:rPr>
          <w:lang w:val="tr-TR"/>
        </w:rPr>
      </w:pPr>
      <w:bookmarkStart w:id="5" w:name="_Toc341526727"/>
      <w:r w:rsidRPr="00DE7441">
        <w:rPr>
          <w:lang w:val="tr-TR"/>
        </w:rPr>
        <w:t>Anayasal dayanak</w:t>
      </w:r>
      <w:bookmarkEnd w:id="5"/>
    </w:p>
    <w:p w:rsidR="002130BE" w:rsidRPr="00DE7441" w:rsidRDefault="002130BE" w:rsidP="002130BE">
      <w:pPr>
        <w:rPr>
          <w:lang w:val="tr-TR"/>
        </w:rPr>
      </w:pPr>
    </w:p>
    <w:p w:rsidR="00291F26" w:rsidRPr="00DE7441" w:rsidRDefault="00291F26" w:rsidP="00291F26">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18. </w:t>
      </w:r>
      <w:r w:rsidR="00C4383F" w:rsidRPr="00DE7441">
        <w:rPr>
          <w:rFonts w:ascii="Calibri" w:hAnsi="Calibri" w:cs="Arial"/>
          <w:sz w:val="22"/>
          <w:szCs w:val="22"/>
          <w:lang w:val="tr-TR"/>
        </w:rPr>
        <w:t>Türkiye Cumhuriyeti Anayasasının 83. Maddesi Türkiye Büyük Meclisi üyeleri için, Raporda tanımlandığı şekliyle her iki dokunulmazlık türünü de içermektedir: milletvekili sorumsuzluğu ve yasama dokunulmazlığı</w:t>
      </w:r>
      <w:r w:rsidRPr="00DE7441">
        <w:rPr>
          <w:rFonts w:ascii="Calibri" w:hAnsi="Calibri" w:cs="Arial"/>
          <w:sz w:val="22"/>
          <w:szCs w:val="22"/>
          <w:lang w:val="tr-TR"/>
        </w:rPr>
        <w:t>.</w:t>
      </w:r>
    </w:p>
    <w:p w:rsidR="00C435D0" w:rsidRPr="00DE7441" w:rsidRDefault="00C435D0" w:rsidP="00C435D0">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19. </w:t>
      </w:r>
      <w:r w:rsidR="00A068A0" w:rsidRPr="00DE7441">
        <w:rPr>
          <w:rFonts w:ascii="Calibri" w:hAnsi="Calibri" w:cs="Arial"/>
          <w:sz w:val="22"/>
          <w:szCs w:val="22"/>
          <w:lang w:val="tr-TR"/>
        </w:rPr>
        <w:t xml:space="preserve">Milletvekilleri </w:t>
      </w:r>
      <w:r w:rsidR="00643056" w:rsidRPr="00DE7441">
        <w:rPr>
          <w:rFonts w:ascii="Calibri" w:hAnsi="Calibri" w:cs="Arial"/>
          <w:sz w:val="22"/>
          <w:szCs w:val="22"/>
          <w:lang w:val="tr-TR"/>
        </w:rPr>
        <w:t xml:space="preserve">Meclis çalışmalarındaki oy ve sözlerinden, Mecliste ileri sürdükleri düşüncelerden </w:t>
      </w:r>
      <w:r w:rsidR="00A068A0" w:rsidRPr="00DE7441">
        <w:rPr>
          <w:rFonts w:ascii="Calibri" w:hAnsi="Calibri" w:cs="Arial"/>
          <w:sz w:val="22"/>
          <w:szCs w:val="22"/>
          <w:lang w:val="tr-TR"/>
        </w:rPr>
        <w:t>sorumlu tutulamazlar. Buna göre, Meclis Üyeleri (veya vekiller) Meclis’te ifade ettikleri görüşlerle ilgili tam bir sorumsuzluktan yararlansalar dahi, Meclisin karar vermesi halinde, aynı görüşleri Meclis dışında ifade ettikleri veya tekrarladıkları için yargılanabilirler (</w:t>
      </w:r>
      <w:r w:rsidR="00552542" w:rsidRPr="00DE7441">
        <w:rPr>
          <w:rFonts w:ascii="Calibri" w:hAnsi="Calibri" w:cs="Arial"/>
          <w:sz w:val="22"/>
          <w:szCs w:val="22"/>
          <w:lang w:val="tr-TR"/>
        </w:rPr>
        <w:t>geriye dönük olarak</w:t>
      </w:r>
      <w:r w:rsidR="00A068A0" w:rsidRPr="00DE7441">
        <w:rPr>
          <w:rFonts w:ascii="Calibri" w:hAnsi="Calibri" w:cs="Arial"/>
          <w:sz w:val="22"/>
          <w:szCs w:val="22"/>
          <w:lang w:val="tr-TR"/>
        </w:rPr>
        <w:t>)</w:t>
      </w:r>
      <w:r w:rsidRPr="00DE7441">
        <w:rPr>
          <w:rFonts w:ascii="Calibri" w:hAnsi="Calibri" w:cs="Arial"/>
          <w:sz w:val="22"/>
          <w:szCs w:val="22"/>
          <w:lang w:val="tr-TR"/>
        </w:rPr>
        <w:t xml:space="preserve">. </w:t>
      </w:r>
      <w:r w:rsidR="00552542" w:rsidRPr="00DE7441">
        <w:rPr>
          <w:rFonts w:ascii="Calibri" w:hAnsi="Calibri" w:cs="Arial"/>
          <w:sz w:val="22"/>
          <w:szCs w:val="22"/>
          <w:lang w:val="tr-TR"/>
        </w:rPr>
        <w:t>Bu nedenle, Türkiye sorumsuzluğun kapsamının oldukça sınırlı tutulduğu ülkeler grubunda yer almaktadır</w:t>
      </w:r>
      <w:r w:rsidRPr="00DE7441">
        <w:rPr>
          <w:rFonts w:ascii="Calibri" w:hAnsi="Calibri" w:cs="Arial"/>
          <w:sz w:val="22"/>
          <w:szCs w:val="22"/>
          <w:lang w:val="tr-TR"/>
        </w:rPr>
        <w:t>.</w:t>
      </w:r>
    </w:p>
    <w:p w:rsidR="00C435D0" w:rsidRPr="00DE7441" w:rsidRDefault="00C435D0" w:rsidP="00C435D0">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20. </w:t>
      </w:r>
      <w:r w:rsidR="00643056" w:rsidRPr="00DE7441">
        <w:rPr>
          <w:rFonts w:ascii="Calibri" w:hAnsi="Calibri" w:cs="Arial"/>
          <w:sz w:val="22"/>
          <w:szCs w:val="22"/>
          <w:lang w:val="tr-TR"/>
        </w:rPr>
        <w:t xml:space="preserve">Anayasa değişikliği kabul edilmeden önce, bahsi geçen sınırlı kapsamlı </w:t>
      </w:r>
      <w:proofErr w:type="gramStart"/>
      <w:r w:rsidR="00643056" w:rsidRPr="00DE7441">
        <w:rPr>
          <w:rFonts w:ascii="Calibri" w:hAnsi="Calibri" w:cs="Arial"/>
          <w:sz w:val="22"/>
          <w:szCs w:val="22"/>
          <w:lang w:val="tr-TR"/>
        </w:rPr>
        <w:t>sorumsuzluk  o</w:t>
      </w:r>
      <w:proofErr w:type="gramEnd"/>
      <w:r w:rsidR="00643056" w:rsidRPr="00DE7441">
        <w:rPr>
          <w:rFonts w:ascii="Calibri" w:hAnsi="Calibri" w:cs="Arial"/>
          <w:sz w:val="22"/>
          <w:szCs w:val="22"/>
          <w:lang w:val="tr-TR"/>
        </w:rPr>
        <w:t xml:space="preserve"> kadar önemli değildi zira TC anayasası sorumsuzluğun yanı sıra yasama dokunulmazlığını da getirmektedir. TC Anayasası’nın 83. Maddesinin 2. Paragrafına göre, Seçimden önce veya sonra bir suç işlediği ileri sürülen bir milletvekili, Meclisin kararı olmadıkça tutulamaz, sorguya çekilemez, tutuklanamaz ve yargılanamaz. Bu hüküm Meclis üyelerinin yasama dokunulmazlığı ilkes</w:t>
      </w:r>
      <w:r w:rsidR="006439E1" w:rsidRPr="00DE7441">
        <w:rPr>
          <w:rFonts w:ascii="Calibri" w:hAnsi="Calibri" w:cs="Arial"/>
          <w:sz w:val="22"/>
          <w:szCs w:val="22"/>
          <w:lang w:val="tr-TR"/>
        </w:rPr>
        <w:t>i</w:t>
      </w:r>
      <w:r w:rsidR="00643056" w:rsidRPr="00DE7441">
        <w:rPr>
          <w:rFonts w:ascii="Calibri" w:hAnsi="Calibri" w:cs="Arial"/>
          <w:sz w:val="22"/>
          <w:szCs w:val="22"/>
          <w:lang w:val="tr-TR"/>
        </w:rPr>
        <w:t>ne iki istisna getirir: 1</w:t>
      </w:r>
      <w:proofErr w:type="gramStart"/>
      <w:r w:rsidR="00643056" w:rsidRPr="00DE7441">
        <w:rPr>
          <w:rFonts w:ascii="Calibri" w:hAnsi="Calibri" w:cs="Arial"/>
          <w:sz w:val="22"/>
          <w:szCs w:val="22"/>
          <w:lang w:val="tr-TR"/>
        </w:rPr>
        <w:t>)</w:t>
      </w:r>
      <w:proofErr w:type="gramEnd"/>
      <w:r w:rsidR="00643056" w:rsidRPr="00DE7441">
        <w:rPr>
          <w:rFonts w:ascii="Calibri" w:hAnsi="Calibri" w:cs="Arial"/>
          <w:sz w:val="22"/>
          <w:szCs w:val="22"/>
          <w:lang w:val="tr-TR"/>
        </w:rPr>
        <w:t xml:space="preserve"> Milletvekilinin suçüstü hali</w:t>
      </w:r>
      <w:r w:rsidR="006439E1" w:rsidRPr="00DE7441">
        <w:rPr>
          <w:rFonts w:ascii="Calibri" w:hAnsi="Calibri" w:cs="Arial"/>
          <w:sz w:val="22"/>
          <w:szCs w:val="22"/>
          <w:lang w:val="tr-TR"/>
        </w:rPr>
        <w:t>;</w:t>
      </w:r>
      <w:r w:rsidR="00643056" w:rsidRPr="00DE7441">
        <w:rPr>
          <w:rFonts w:ascii="Calibri" w:hAnsi="Calibri" w:cs="Arial"/>
          <w:sz w:val="22"/>
          <w:szCs w:val="22"/>
          <w:lang w:val="tr-TR"/>
        </w:rPr>
        <w:t xml:space="preserve"> 2) </w:t>
      </w:r>
      <w:r w:rsidR="006439E1" w:rsidRPr="00DE7441">
        <w:rPr>
          <w:rFonts w:ascii="Calibri" w:hAnsi="Calibri" w:cs="Arial"/>
          <w:sz w:val="22"/>
          <w:szCs w:val="22"/>
          <w:lang w:val="tr-TR"/>
        </w:rPr>
        <w:t xml:space="preserve">seçimden önce soruşturmasına başlanılmış olmak kaydıyla </w:t>
      </w:r>
      <w:r w:rsidR="00643056" w:rsidRPr="00DE7441">
        <w:rPr>
          <w:rFonts w:ascii="Calibri" w:hAnsi="Calibri" w:cs="Arial"/>
          <w:sz w:val="22"/>
          <w:szCs w:val="22"/>
          <w:lang w:val="tr-TR"/>
        </w:rPr>
        <w:t xml:space="preserve">Anayasanın 14. </w:t>
      </w:r>
      <w:r w:rsidR="006439E1" w:rsidRPr="00DE7441">
        <w:rPr>
          <w:rFonts w:ascii="Calibri" w:hAnsi="Calibri" w:cs="Arial"/>
          <w:sz w:val="22"/>
          <w:szCs w:val="22"/>
          <w:lang w:val="tr-TR"/>
        </w:rPr>
        <w:t>M</w:t>
      </w:r>
      <w:r w:rsidR="00643056" w:rsidRPr="00DE7441">
        <w:rPr>
          <w:rFonts w:ascii="Calibri" w:hAnsi="Calibri" w:cs="Arial"/>
          <w:sz w:val="22"/>
          <w:szCs w:val="22"/>
          <w:lang w:val="tr-TR"/>
        </w:rPr>
        <w:t>addesi</w:t>
      </w:r>
      <w:r w:rsidR="006439E1" w:rsidRPr="00DE7441">
        <w:rPr>
          <w:rFonts w:ascii="Calibri" w:hAnsi="Calibri" w:cs="Arial"/>
          <w:sz w:val="22"/>
          <w:szCs w:val="22"/>
          <w:lang w:val="tr-TR"/>
        </w:rPr>
        <w:t xml:space="preserve"> kapsamında yer alan suçlar. Değişiklikle birlikte 83. Maddenin ikinci paragrafı geçici olarak askıya alınmıştır.   </w:t>
      </w:r>
    </w:p>
    <w:p w:rsidR="00C435D0" w:rsidRPr="00DE7441" w:rsidRDefault="00C435D0" w:rsidP="002173DF">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21. </w:t>
      </w:r>
      <w:r w:rsidR="002173DF" w:rsidRPr="00DE7441">
        <w:rPr>
          <w:rFonts w:ascii="Calibri" w:hAnsi="Calibri" w:cs="Arial"/>
          <w:sz w:val="22"/>
          <w:szCs w:val="22"/>
          <w:lang w:val="tr-TR"/>
        </w:rPr>
        <w:t>Anayasa’nın 83/3. Maddesine göre</w:t>
      </w:r>
      <w:r w:rsidR="009B2176" w:rsidRPr="00DE7441">
        <w:rPr>
          <w:rStyle w:val="DipnotBavurusu"/>
          <w:rFonts w:ascii="Calibri" w:hAnsi="Calibri" w:cs="Arial"/>
          <w:sz w:val="22"/>
          <w:szCs w:val="22"/>
          <w:lang w:val="tr-TR"/>
        </w:rPr>
        <w:footnoteReference w:id="9"/>
      </w:r>
      <w:r w:rsidR="002173DF" w:rsidRPr="00DE7441">
        <w:rPr>
          <w:rFonts w:ascii="Calibri" w:hAnsi="Calibri" w:cs="Arial"/>
          <w:sz w:val="22"/>
          <w:szCs w:val="22"/>
          <w:lang w:val="tr-TR"/>
        </w:rPr>
        <w:t xml:space="preserve">, Türkiye Büyük Millet Meclisi üyesi hakkında, seçiminden </w:t>
      </w:r>
      <w:r w:rsidR="002173DF" w:rsidRPr="00DE7441">
        <w:rPr>
          <w:rFonts w:ascii="Calibri" w:hAnsi="Calibri" w:cs="Arial"/>
          <w:sz w:val="22"/>
          <w:szCs w:val="22"/>
          <w:lang w:val="tr-TR"/>
        </w:rPr>
        <w:lastRenderedPageBreak/>
        <w:t xml:space="preserve">önce veya sonra verilmiş bir ceza hükmünün yerine getirilmesi, üyelik sıfatının sona ermesine bırakılır. </w:t>
      </w:r>
      <w:proofErr w:type="gramStart"/>
      <w:r w:rsidR="002173DF" w:rsidRPr="00DE7441">
        <w:rPr>
          <w:rFonts w:ascii="Calibri" w:hAnsi="Calibri" w:cs="Arial"/>
          <w:sz w:val="22"/>
          <w:szCs w:val="22"/>
          <w:lang w:val="tr-TR"/>
        </w:rPr>
        <w:t>Anayasanın 76. Maddesi Milletvekili seçilme yeterliliğini düzenler:  “kamu hizmetinden yasaklılar, taksirli suçlar hariç toplam bir yıl veya daha fazla hapis ile ağır hapis cezasına hüküm giymiş olanlar; zimmet, ihtilâs, irtikâp, rüşvet, hırsızlık, dolandırıcılık, sahtecilik, inancı kötüye kullanma, dolanlı iflas gibi yüz kızartıcı suçlarla, kaçakçılık, resmî ihale ve alım satımlara fesat karıştırma, Devlet sırlarını açığa vurma, terör eylemlerine katılma ve bu gibi eylemleri tahrik ve teşvik suçlarından biriyle hüküm giymiş olanlar, affa uğramış olsalar bile milletvekili seçilemezler.</w:t>
      </w:r>
      <w:r w:rsidRPr="00DE7441">
        <w:rPr>
          <w:rFonts w:ascii="Calibri" w:hAnsi="Calibri" w:cs="Arial"/>
          <w:sz w:val="22"/>
          <w:szCs w:val="22"/>
          <w:lang w:val="tr-TR"/>
        </w:rPr>
        <w:t>”</w:t>
      </w:r>
      <w:proofErr w:type="gramEnd"/>
    </w:p>
    <w:p w:rsidR="00F33B50" w:rsidRPr="00DE7441" w:rsidRDefault="00C435D0" w:rsidP="00C03B73">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22. </w:t>
      </w:r>
      <w:r w:rsidR="00C03B73" w:rsidRPr="00DE7441">
        <w:rPr>
          <w:rFonts w:ascii="Calibri" w:hAnsi="Calibri" w:cs="Arial"/>
          <w:sz w:val="22"/>
          <w:szCs w:val="22"/>
          <w:lang w:val="tr-TR"/>
        </w:rPr>
        <w:t>TBMM İçtüzüğünün 135. Maddesine göre (bundan böyle İçtüzük)</w:t>
      </w:r>
      <w:r w:rsidR="009B2176" w:rsidRPr="00DE7441">
        <w:rPr>
          <w:rStyle w:val="DipnotBavurusu"/>
          <w:rFonts w:ascii="Calibri" w:hAnsi="Calibri" w:cs="Arial"/>
          <w:sz w:val="22"/>
          <w:szCs w:val="22"/>
          <w:lang w:val="tr-TR"/>
        </w:rPr>
        <w:footnoteReference w:id="10"/>
      </w:r>
      <w:r w:rsidR="00C03B73" w:rsidRPr="00DE7441">
        <w:rPr>
          <w:rFonts w:ascii="Calibri" w:hAnsi="Calibri" w:cs="Arial"/>
          <w:sz w:val="22"/>
          <w:szCs w:val="22"/>
          <w:lang w:val="tr-TR"/>
        </w:rPr>
        <w:t xml:space="preserve">  göre, Anayasanın 76. Maddesinde belirtilen bir suçtan dolayı hüküm giyen milletvekilinin üyeliği düşer. Böyle bir durumda üyeliğin düşmesi için TBMM’nin oylama yapmasına gerek görülmediği anlaşılmaktadır; </w:t>
      </w:r>
      <w:proofErr w:type="gramStart"/>
      <w:r w:rsidR="00C03B73" w:rsidRPr="00DE7441">
        <w:rPr>
          <w:rFonts w:ascii="Calibri" w:hAnsi="Calibri" w:cs="Arial"/>
          <w:sz w:val="22"/>
          <w:szCs w:val="22"/>
          <w:lang w:val="tr-TR"/>
        </w:rPr>
        <w:t>zira,</w:t>
      </w:r>
      <w:proofErr w:type="gramEnd"/>
      <w:r w:rsidR="00C03B73" w:rsidRPr="00DE7441">
        <w:rPr>
          <w:rFonts w:ascii="Calibri" w:hAnsi="Calibri" w:cs="Arial"/>
          <w:sz w:val="22"/>
          <w:szCs w:val="22"/>
          <w:lang w:val="tr-TR"/>
        </w:rPr>
        <w:t xml:space="preserve"> İçtüzüğün 136. Maddesine göre milletvekili hakkındaki kesinleşmiş mahkeme kararının Genel Kurulun bilgisine sunulmasıyla üyelik sıfatı sona ermektedir.</w:t>
      </w:r>
    </w:p>
    <w:p w:rsidR="00F33B50" w:rsidRPr="00DE7441" w:rsidRDefault="00F33B50" w:rsidP="00F33B50">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23. Anayasanın 85. Maddesine göre</w:t>
      </w:r>
      <w:r w:rsidRPr="00DE7441">
        <w:rPr>
          <w:rStyle w:val="DipnotBavurusu"/>
          <w:rFonts w:ascii="Calibri" w:hAnsi="Calibri" w:cs="Arial"/>
          <w:sz w:val="22"/>
          <w:szCs w:val="22"/>
          <w:lang w:val="tr-TR"/>
        </w:rPr>
        <w:footnoteReference w:id="11"/>
      </w:r>
      <w:r w:rsidRPr="00DE7441">
        <w:rPr>
          <w:rFonts w:ascii="Calibri" w:hAnsi="Calibri" w:cs="Arial"/>
          <w:sz w:val="22"/>
          <w:szCs w:val="22"/>
          <w:lang w:val="tr-TR"/>
        </w:rPr>
        <w:t xml:space="preserve"> ilgili milletvekili (veya bir diğer milletvekili), kararın iptali için kararının alındığı tarihten başlayarak yedi gün içerisinde Anayasa Mahkemesine başvurabilmektedir. Anayasa Mahkemesi kararın, Anayasaya, kanuna veya İçtüzüğe aykırı olduğu gerekçesiyle Meclis kararını iptal edebilir. </w:t>
      </w:r>
    </w:p>
    <w:p w:rsidR="00F33B50" w:rsidRPr="00DE7441" w:rsidRDefault="00F33B50" w:rsidP="00F33B50">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24. </w:t>
      </w:r>
      <w:r w:rsidR="003568C3" w:rsidRPr="00DE7441">
        <w:rPr>
          <w:rFonts w:ascii="Calibri" w:hAnsi="Calibri" w:cs="Arial"/>
          <w:sz w:val="22"/>
          <w:szCs w:val="22"/>
          <w:lang w:val="tr-TR"/>
        </w:rPr>
        <w:t xml:space="preserve">Bu hükümler, Türkiye’nin yasama dokunulmazlığının Anayasayla güvence altına alındığı ülkelerden biri olduğunu göstermektedir. Anayasa değişikliğiyle bu hükümler kaldırılmadığı için, Türkiye’deki kurucu iktidarın buradaki belirgin teminatın, </w:t>
      </w:r>
      <w:r w:rsidR="005C616A" w:rsidRPr="00DE7441">
        <w:rPr>
          <w:rFonts w:ascii="Calibri" w:hAnsi="Calibri" w:cs="Arial"/>
          <w:sz w:val="22"/>
          <w:szCs w:val="22"/>
          <w:lang w:val="tr-TR"/>
        </w:rPr>
        <w:t xml:space="preserve">ülkesindeki </w:t>
      </w:r>
      <w:r w:rsidR="003568C3" w:rsidRPr="00DE7441">
        <w:rPr>
          <w:rFonts w:ascii="Calibri" w:hAnsi="Calibri" w:cs="Arial"/>
          <w:sz w:val="22"/>
          <w:szCs w:val="22"/>
          <w:lang w:val="tr-TR"/>
        </w:rPr>
        <w:t>demokrasi</w:t>
      </w:r>
      <w:r w:rsidR="005C616A" w:rsidRPr="00DE7441">
        <w:rPr>
          <w:rFonts w:ascii="Calibri" w:hAnsi="Calibri" w:cs="Arial"/>
          <w:sz w:val="22"/>
          <w:szCs w:val="22"/>
          <w:lang w:val="tr-TR"/>
        </w:rPr>
        <w:t xml:space="preserve">nin ve yargının bağımsızlığına ve tarafsızlığına duyulan güvenin derecesini dikkate alarak, </w:t>
      </w:r>
      <w:r w:rsidR="003568C3" w:rsidRPr="00DE7441">
        <w:rPr>
          <w:rFonts w:ascii="Calibri" w:hAnsi="Calibri" w:cs="Arial"/>
          <w:sz w:val="22"/>
          <w:szCs w:val="22"/>
          <w:lang w:val="tr-TR"/>
        </w:rPr>
        <w:t>ülkede hala geçerli ve gerekli olduğu varsayımından yo</w:t>
      </w:r>
      <w:r w:rsidR="005C616A" w:rsidRPr="00DE7441">
        <w:rPr>
          <w:rFonts w:ascii="Calibri" w:hAnsi="Calibri" w:cs="Arial"/>
          <w:sz w:val="22"/>
          <w:szCs w:val="22"/>
          <w:lang w:val="tr-TR"/>
        </w:rPr>
        <w:t>la çıktığı sonucuna varılabilir</w:t>
      </w:r>
      <w:r w:rsidRPr="00DE7441">
        <w:rPr>
          <w:rFonts w:ascii="Calibri" w:hAnsi="Calibri" w:cs="Arial"/>
          <w:sz w:val="22"/>
          <w:szCs w:val="22"/>
          <w:lang w:val="tr-TR"/>
        </w:rPr>
        <w:t>.</w:t>
      </w:r>
    </w:p>
    <w:p w:rsidR="00F33B50" w:rsidRDefault="00F33B50" w:rsidP="002130BE">
      <w:pPr>
        <w:pStyle w:val="Balk2"/>
        <w:rPr>
          <w:lang w:val="tr-TR"/>
        </w:rPr>
      </w:pPr>
      <w:bookmarkStart w:id="6" w:name="_Toc341526728"/>
      <w:r w:rsidRPr="00DE7441">
        <w:rPr>
          <w:lang w:val="tr-TR"/>
        </w:rPr>
        <w:t xml:space="preserve">B. </w:t>
      </w:r>
      <w:r w:rsidR="00F75E8E" w:rsidRPr="00DE7441">
        <w:rPr>
          <w:lang w:val="tr-TR"/>
        </w:rPr>
        <w:t>Türkiye Büyük Millet Meclisi İçtüzüğünde yer alan usul ve güvenceler</w:t>
      </w:r>
      <w:bookmarkEnd w:id="6"/>
    </w:p>
    <w:p w:rsidR="004F7908" w:rsidRPr="00B867ED" w:rsidRDefault="004F7908" w:rsidP="004F7908">
      <w:pPr>
        <w:rPr>
          <w:lang w:val="tr-TR"/>
        </w:rPr>
      </w:pPr>
    </w:p>
    <w:p w:rsidR="00F33B50" w:rsidRPr="00DE7441" w:rsidRDefault="00F33B50" w:rsidP="00F33B50">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25. </w:t>
      </w:r>
      <w:r w:rsidR="00F75E8E" w:rsidRPr="00DE7441">
        <w:rPr>
          <w:rFonts w:ascii="Calibri" w:hAnsi="Calibri" w:cs="Arial"/>
          <w:sz w:val="22"/>
          <w:szCs w:val="22"/>
          <w:lang w:val="tr-TR"/>
        </w:rPr>
        <w:t>Yasama dokunulmazlığının kaldırılması için izlenmesi gereken usul Anayasanın 83 ve 85. Maddelerine dayanmaktadır. İçtüzükte ayrıntılı kurallara yer verilmiştir.</w:t>
      </w:r>
    </w:p>
    <w:p w:rsidR="00F33B50" w:rsidRPr="00DE7441" w:rsidRDefault="00F33B50" w:rsidP="00F33B50">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26. </w:t>
      </w:r>
      <w:r w:rsidR="00F75E8E" w:rsidRPr="00DE7441">
        <w:rPr>
          <w:rFonts w:ascii="Calibri" w:hAnsi="Calibri" w:cs="Arial"/>
          <w:sz w:val="22"/>
          <w:szCs w:val="22"/>
          <w:lang w:val="tr-TR"/>
        </w:rPr>
        <w:t>Bir milletvekilinin suç işlediği iddia edildiğinde, savcı ve mahkemeler dokunulmazlığının kaldırılması talebinde bulunabilmektedir. Bu talep Adalet Bakanlığı tarafından, Meclis Başkanlığına sunulmak üzere Başbakanlığa iletilir</w:t>
      </w:r>
      <w:r w:rsidRPr="00DE7441">
        <w:rPr>
          <w:rFonts w:ascii="Calibri" w:hAnsi="Calibri" w:cs="Arial"/>
          <w:sz w:val="22"/>
          <w:szCs w:val="22"/>
          <w:lang w:val="tr-TR"/>
        </w:rPr>
        <w:t>.</w:t>
      </w:r>
    </w:p>
    <w:p w:rsidR="00F33B50" w:rsidRPr="00DE7441" w:rsidRDefault="00F33B50" w:rsidP="008D4E5A">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27. </w:t>
      </w:r>
      <w:r w:rsidR="009F6990" w:rsidRPr="00DE7441">
        <w:rPr>
          <w:rFonts w:ascii="Calibri" w:hAnsi="Calibri" w:cs="Arial"/>
          <w:sz w:val="22"/>
          <w:szCs w:val="22"/>
          <w:lang w:val="tr-TR"/>
        </w:rPr>
        <w:t xml:space="preserve">Meclis Başkanlığı bu talebi, Anayasa ve Adalet komisyonları üyelerinden kurulu </w:t>
      </w:r>
      <w:r w:rsidR="008D4E5A" w:rsidRPr="00DE7441">
        <w:rPr>
          <w:rFonts w:ascii="Calibri" w:hAnsi="Calibri" w:cs="Arial"/>
          <w:sz w:val="22"/>
          <w:szCs w:val="22"/>
          <w:lang w:val="tr-TR"/>
        </w:rPr>
        <w:t xml:space="preserve">Karma Komisyona havale eder. Karma Komisyona Anayasa Komisyonu Başkanı başkanlık eder. Anayasa Komisyonun başkanvekili, sözcüsü ve </w:t>
      </w:r>
      <w:proofErr w:type="gramStart"/>
      <w:r w:rsidR="008D4E5A" w:rsidRPr="00DE7441">
        <w:rPr>
          <w:rFonts w:ascii="Calibri" w:hAnsi="Calibri" w:cs="Arial"/>
          <w:sz w:val="22"/>
          <w:szCs w:val="22"/>
          <w:lang w:val="tr-TR"/>
        </w:rPr>
        <w:t>katibi</w:t>
      </w:r>
      <w:proofErr w:type="gramEnd"/>
      <w:r w:rsidR="008D4E5A" w:rsidRPr="00DE7441">
        <w:rPr>
          <w:rFonts w:ascii="Calibri" w:hAnsi="Calibri" w:cs="Arial"/>
          <w:sz w:val="22"/>
          <w:szCs w:val="22"/>
          <w:lang w:val="tr-TR"/>
        </w:rPr>
        <w:t xml:space="preserve"> aynı görevleri Karma Komisyonda sürdürürler. </w:t>
      </w:r>
      <w:r w:rsidRPr="00DE7441">
        <w:rPr>
          <w:rFonts w:ascii="Calibri" w:hAnsi="Calibri" w:cs="Arial"/>
          <w:sz w:val="22"/>
          <w:szCs w:val="22"/>
          <w:lang w:val="tr-TR"/>
        </w:rPr>
        <w:t>(</w:t>
      </w:r>
      <w:r w:rsidR="008D4E5A" w:rsidRPr="00DE7441">
        <w:rPr>
          <w:rFonts w:ascii="Calibri" w:hAnsi="Calibri" w:cs="Arial"/>
          <w:sz w:val="22"/>
          <w:szCs w:val="22"/>
          <w:lang w:val="tr-TR"/>
        </w:rPr>
        <w:t>İçtüzük 131. Madde). Karma Komisyon başkanı, dokunulmazlık dosyalarını incelemek üzere ad çekme suretiyle beş üyeli bir hazırlık komisyonu teşkil eder</w:t>
      </w:r>
      <w:r w:rsidRPr="00DE7441">
        <w:rPr>
          <w:rFonts w:ascii="Calibri" w:hAnsi="Calibri" w:cs="Arial"/>
          <w:sz w:val="22"/>
          <w:szCs w:val="22"/>
          <w:lang w:val="tr-TR"/>
        </w:rPr>
        <w:t>.</w:t>
      </w:r>
    </w:p>
    <w:p w:rsidR="008D4E5A" w:rsidRPr="00DE7441" w:rsidRDefault="00F33B50" w:rsidP="008D4E5A">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lastRenderedPageBreak/>
        <w:t xml:space="preserve">28. </w:t>
      </w:r>
      <w:r w:rsidR="008D4E5A" w:rsidRPr="00DE7441">
        <w:rPr>
          <w:rFonts w:ascii="Calibri" w:hAnsi="Calibri" w:cs="Arial"/>
          <w:sz w:val="22"/>
          <w:szCs w:val="22"/>
          <w:lang w:val="tr-TR"/>
        </w:rPr>
        <w:t>Beş kişiden oluşan Hazırlık komisyonu, göreve başlamasından itibaren en geç bir ay içinde Karma Komisyona bir rapor sunar. Komisyon ilgili milletvekilini dinleyebilir ancak tanık dinleyemez (İçtüzük 132. Madde).</w:t>
      </w:r>
    </w:p>
    <w:p w:rsidR="008D4E5A" w:rsidRPr="00DE7441" w:rsidRDefault="00F33B50" w:rsidP="008D4E5A">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29. </w:t>
      </w:r>
      <w:r w:rsidR="008D4E5A" w:rsidRPr="00DE7441">
        <w:rPr>
          <w:rFonts w:ascii="Calibri" w:hAnsi="Calibri" w:cs="Arial"/>
          <w:sz w:val="22"/>
          <w:szCs w:val="22"/>
          <w:lang w:val="tr-TR"/>
        </w:rPr>
        <w:t>Karma Komisyon, Hazırlık Komisyonu tarafından hazırlanan raporu görüşür ve bir ayda sonuçlandırır. Karma Komisyon dokunulmazlığın kaldırılmasına veya kovuşturmanın milletvekilliği veya bakanlık sıfatının sona ermesine kadar ertelenmesine karar verir (İçtüzük 133. Madde).</w:t>
      </w:r>
    </w:p>
    <w:p w:rsidR="008D4E5A" w:rsidRPr="00DE7441" w:rsidRDefault="00F33B50" w:rsidP="008D4E5A">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30. </w:t>
      </w:r>
      <w:r w:rsidR="008D4E5A" w:rsidRPr="00DE7441">
        <w:rPr>
          <w:rFonts w:ascii="Calibri" w:hAnsi="Calibri" w:cs="Arial"/>
          <w:sz w:val="22"/>
          <w:szCs w:val="22"/>
          <w:lang w:val="tr-TR"/>
        </w:rPr>
        <w:t xml:space="preserve">Karma Komisyon raporu, kovuşturmanın ertelenmesi şeklinde ise Genel Kurulda okunur. On gün zarfında bu rapora yazılı olarak itiraz edilmezse kesinleşir (asgari itiraz sayısı belirtilmemiştir) </w:t>
      </w:r>
      <w:proofErr w:type="gramStart"/>
      <w:r w:rsidR="008D4E5A" w:rsidRPr="00DE7441">
        <w:rPr>
          <w:rFonts w:ascii="Calibri" w:hAnsi="Calibri" w:cs="Arial"/>
          <w:sz w:val="22"/>
          <w:szCs w:val="22"/>
          <w:lang w:val="tr-TR"/>
        </w:rPr>
        <w:t>(</w:t>
      </w:r>
      <w:proofErr w:type="gramEnd"/>
      <w:r w:rsidR="008D4E5A" w:rsidRPr="00DE7441">
        <w:rPr>
          <w:rFonts w:ascii="Calibri" w:hAnsi="Calibri" w:cs="Arial"/>
          <w:sz w:val="22"/>
          <w:szCs w:val="22"/>
          <w:lang w:val="tr-TR"/>
        </w:rPr>
        <w:t>İçtüzük 133/3. Madde. Rapor, dokunulmazlığın kaldırılması şeklinde ise veya itiraz edilmişse Genel Kurulda görüşülür ve oylanır.</w:t>
      </w:r>
    </w:p>
    <w:p w:rsidR="008465DB" w:rsidRPr="00DE7441" w:rsidRDefault="008465DB" w:rsidP="008465DB">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31. Dokunulmazlığının kaldırılması istenen milletvekili isterse hazırlık komisyonunda, Karma Komisyonda ve Genel Kurulda kendini sözlü olarak savunabilir veya bir üyeye savundurabilir. Genel Kuruldan önceki son söz savunmanındır (ilgili milletvekili).</w:t>
      </w:r>
    </w:p>
    <w:p w:rsidR="00881185" w:rsidRPr="00DE7441" w:rsidRDefault="00881185" w:rsidP="002130BE">
      <w:pPr>
        <w:pStyle w:val="Balk1"/>
      </w:pPr>
      <w:bookmarkStart w:id="7" w:name="_Toc341526729"/>
      <w:r w:rsidRPr="00DE7441">
        <w:t>V. 12 Nisan 2016 tarihli Anayasa Değişikliği</w:t>
      </w:r>
      <w:bookmarkEnd w:id="7"/>
    </w:p>
    <w:p w:rsidR="002130BE" w:rsidRPr="00DE7441" w:rsidRDefault="002130BE" w:rsidP="002130BE">
      <w:pPr>
        <w:rPr>
          <w:lang w:val="tr-TR"/>
        </w:rPr>
      </w:pPr>
    </w:p>
    <w:p w:rsidR="00881185" w:rsidRPr="00DE7441" w:rsidRDefault="00881185" w:rsidP="00881185">
      <w:pPr>
        <w:widowControl w:val="0"/>
        <w:autoSpaceDE w:val="0"/>
        <w:autoSpaceDN w:val="0"/>
        <w:adjustRightInd w:val="0"/>
        <w:spacing w:after="240"/>
        <w:rPr>
          <w:rFonts w:ascii="Calibri" w:hAnsi="Calibri" w:cs="Arial"/>
          <w:i/>
          <w:sz w:val="22"/>
          <w:szCs w:val="22"/>
          <w:lang w:val="tr-TR"/>
        </w:rPr>
      </w:pPr>
      <w:r w:rsidRPr="00DE7441">
        <w:rPr>
          <w:rFonts w:ascii="Calibri" w:hAnsi="Calibri" w:cs="Arial"/>
          <w:sz w:val="22"/>
          <w:szCs w:val="22"/>
          <w:lang w:val="tr-TR"/>
        </w:rPr>
        <w:t xml:space="preserve">32. 12 Nisan 2016 tarihinde Millet Meclisi, Anayasa’ya geçici 20. Maddeyi ekleyen bir anayasa değişikliğini kabul etmiştir. </w:t>
      </w:r>
      <w:proofErr w:type="gramStart"/>
      <w:r w:rsidRPr="00DE7441">
        <w:rPr>
          <w:rFonts w:ascii="Calibri" w:hAnsi="Calibri" w:cs="Arial"/>
          <w:sz w:val="22"/>
          <w:szCs w:val="22"/>
          <w:lang w:val="tr-TR"/>
        </w:rPr>
        <w:t xml:space="preserve">Geçici 20. Madde şöyledir:  </w:t>
      </w:r>
      <w:r w:rsidRPr="00DE7441">
        <w:rPr>
          <w:rFonts w:ascii="Calibri" w:hAnsi="Calibri" w:cs="Arial"/>
          <w:i/>
          <w:sz w:val="22"/>
          <w:szCs w:val="22"/>
          <w:lang w:val="tr-TR"/>
        </w:rPr>
        <w:t xml:space="preserve">“Bu maddenin Türkiye Büyük Millet Meclisinde kabul edildiği tarihte; soruşturmaya veya soruşturma ya da kovuşturma izni vermeye yetkili mercilerden, Cumhuriyet başsavcılıklarından ve mahkemelerden; Adalet Bakanlığına, Başbakanlığa, Türkiye Büyük Millet Meclisi Başkanlığına veya Anayasa ve Adalet komisyonları üyelerinden kurulu Karma Komisyon Başkanlığına intikal etmiş yasama dokunulmazlığının kaldırılmasına ilişkin dosyaları bulunan milletvekilleri hakkında, bu dosyalar bakımından, Anayasanın 83 üncü maddesinin ikinci fıkrasının birinci cümlesi hükmü uygulanmaz. </w:t>
      </w:r>
      <w:proofErr w:type="gramEnd"/>
    </w:p>
    <w:p w:rsidR="00881185" w:rsidRPr="00DE7441" w:rsidRDefault="00881185" w:rsidP="00881185">
      <w:pPr>
        <w:widowControl w:val="0"/>
        <w:autoSpaceDE w:val="0"/>
        <w:autoSpaceDN w:val="0"/>
        <w:adjustRightInd w:val="0"/>
        <w:spacing w:after="240"/>
        <w:rPr>
          <w:rFonts w:ascii="Calibri" w:hAnsi="Calibri" w:cs="Arial"/>
          <w:i/>
          <w:sz w:val="22"/>
          <w:szCs w:val="22"/>
          <w:lang w:val="tr-TR"/>
        </w:rPr>
      </w:pPr>
      <w:r w:rsidRPr="00DE7441">
        <w:rPr>
          <w:rFonts w:ascii="Calibri" w:hAnsi="Calibri" w:cs="Arial"/>
          <w:i/>
          <w:sz w:val="22"/>
          <w:szCs w:val="22"/>
          <w:lang w:val="tr-TR"/>
        </w:rPr>
        <w:t xml:space="preserve">Bu maddenin yürürlüğe girdiği tarihten itibaren </w:t>
      </w:r>
      <w:r w:rsidR="00DE7441" w:rsidRPr="00DE7441">
        <w:rPr>
          <w:rFonts w:ascii="Calibri" w:hAnsi="Calibri" w:cs="Arial"/>
          <w:i/>
          <w:sz w:val="22"/>
          <w:szCs w:val="22"/>
          <w:lang w:val="tr-TR"/>
        </w:rPr>
        <w:t>on beş</w:t>
      </w:r>
      <w:r w:rsidRPr="00DE7441">
        <w:rPr>
          <w:rFonts w:ascii="Calibri" w:hAnsi="Calibri" w:cs="Arial"/>
          <w:i/>
          <w:sz w:val="22"/>
          <w:szCs w:val="22"/>
          <w:lang w:val="tr-TR"/>
        </w:rPr>
        <w:t xml:space="preserve"> gün içinde; Anayasa ve Adalet komisyonları üyelerinden kurulu Karma Komisyon Başkanlığında, Türkiye Büyük Millet Meclisi Başkanlığında, Başbakanlıkta ve Adalet Bakanlığında bulunan yasama dokunulmazlığının kaldırılmasına ilişkin dosyalar, gereğinin yapılması amacıyla, yetkili merciine iade edilir.”</w:t>
      </w:r>
    </w:p>
    <w:p w:rsidR="00881185" w:rsidRPr="00DE7441" w:rsidRDefault="00881185" w:rsidP="00881185">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33. Anayasa’nın geçici 20. Maddesi 20 Mayıs 2016 tarihinde yürürlüğe girmiş ve 15 gün içinde tamamen "tüketilmiştir"; 4 Haziran 2016 tarihinde bekleyen bütün dosyalar ‘gereğinin yapılması’ amacıyla ilgili yetkili </w:t>
      </w:r>
      <w:r w:rsidR="00DE7441" w:rsidRPr="00DE7441">
        <w:rPr>
          <w:rFonts w:ascii="Calibri" w:hAnsi="Calibri" w:cs="Arial"/>
          <w:sz w:val="22"/>
          <w:szCs w:val="22"/>
          <w:lang w:val="tr-TR"/>
        </w:rPr>
        <w:t>mercide</w:t>
      </w:r>
      <w:r w:rsidRPr="00DE7441">
        <w:rPr>
          <w:rFonts w:ascii="Calibri" w:hAnsi="Calibri" w:cs="Arial"/>
          <w:sz w:val="22"/>
          <w:szCs w:val="22"/>
          <w:lang w:val="tr-TR"/>
        </w:rPr>
        <w:t xml:space="preserve"> iade edilmiştir.</w:t>
      </w:r>
    </w:p>
    <w:p w:rsidR="00881185" w:rsidRPr="00DE7441" w:rsidRDefault="00881185" w:rsidP="00881185">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34. Buna göre, </w:t>
      </w:r>
      <w:r w:rsidR="00D35A1C" w:rsidRPr="00DE7441">
        <w:rPr>
          <w:rFonts w:ascii="Calibri" w:hAnsi="Calibri" w:cs="Arial"/>
          <w:sz w:val="22"/>
          <w:szCs w:val="22"/>
          <w:lang w:val="tr-TR"/>
        </w:rPr>
        <w:t xml:space="preserve">Değişikliğin yayınlandığı tarihe kadar Millet Meclisine </w:t>
      </w:r>
      <w:r w:rsidR="00BC1A2E" w:rsidRPr="00DE7441">
        <w:rPr>
          <w:rFonts w:ascii="Calibri" w:hAnsi="Calibri" w:cs="Arial"/>
          <w:sz w:val="22"/>
          <w:szCs w:val="22"/>
          <w:lang w:val="tr-TR"/>
        </w:rPr>
        <w:t xml:space="preserve">dokunulmazlığın kaldırılması için havale edilen bütün talepler bakımından dokunulmazlıklar kaldırılmıştır. </w:t>
      </w:r>
      <w:r w:rsidR="007D197A" w:rsidRPr="00DE7441">
        <w:rPr>
          <w:rFonts w:ascii="Calibri" w:hAnsi="Calibri" w:cs="Arial"/>
          <w:sz w:val="22"/>
          <w:szCs w:val="22"/>
          <w:lang w:val="tr-TR"/>
        </w:rPr>
        <w:t xml:space="preserve">Buna karşın, </w:t>
      </w:r>
      <w:r w:rsidR="00A84787" w:rsidRPr="00DE7441">
        <w:rPr>
          <w:rFonts w:ascii="Calibri" w:hAnsi="Calibri" w:cs="Arial"/>
          <w:sz w:val="22"/>
          <w:szCs w:val="22"/>
          <w:lang w:val="tr-TR"/>
        </w:rPr>
        <w:t xml:space="preserve">bu tarihten sonra gelen dosyalar Anayasanın 83. Ve 85. Maddesinde düzenlenen usule ve TBMM İçtüzüğüne göre işlem görmüştür.  </w:t>
      </w:r>
    </w:p>
    <w:p w:rsidR="00881185" w:rsidRPr="00DE7441" w:rsidRDefault="00881185" w:rsidP="00881185">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35. </w:t>
      </w:r>
      <w:r w:rsidR="00A84787" w:rsidRPr="00DE7441">
        <w:rPr>
          <w:rFonts w:ascii="Calibri" w:hAnsi="Calibri" w:cs="Arial"/>
          <w:sz w:val="22"/>
          <w:szCs w:val="22"/>
          <w:lang w:val="tr-TR"/>
        </w:rPr>
        <w:t>Venedik Komisyonu heyetine, Değişikliğin 139 milletvekili hakkında yaklaşık 800</w:t>
      </w:r>
      <w:r w:rsidR="009D19C6" w:rsidRPr="00DE7441">
        <w:rPr>
          <w:rStyle w:val="DipnotBavurusu"/>
          <w:rFonts w:ascii="Calibri" w:hAnsi="Calibri" w:cs="Arial"/>
          <w:sz w:val="22"/>
          <w:szCs w:val="22"/>
          <w:lang w:val="tr-TR"/>
        </w:rPr>
        <w:footnoteReference w:id="12"/>
      </w:r>
      <w:r w:rsidR="00A84787" w:rsidRPr="00DE7441">
        <w:rPr>
          <w:rFonts w:ascii="Calibri" w:hAnsi="Calibri" w:cs="Arial"/>
          <w:sz w:val="22"/>
          <w:szCs w:val="22"/>
          <w:lang w:val="tr-TR"/>
        </w:rPr>
        <w:t xml:space="preserve"> suç dosyası </w:t>
      </w:r>
      <w:r w:rsidR="00A84787" w:rsidRPr="00DE7441">
        <w:rPr>
          <w:rFonts w:ascii="Calibri" w:hAnsi="Calibri" w:cs="Arial"/>
          <w:sz w:val="22"/>
          <w:szCs w:val="22"/>
          <w:lang w:val="tr-TR"/>
        </w:rPr>
        <w:lastRenderedPageBreak/>
        <w:t>ile ilgili olduğu bildirilmiştir</w:t>
      </w:r>
      <w:r w:rsidRPr="00DE7441">
        <w:rPr>
          <w:rFonts w:ascii="Calibri" w:hAnsi="Calibri" w:cs="Arial"/>
          <w:sz w:val="22"/>
          <w:szCs w:val="22"/>
          <w:lang w:val="tr-TR"/>
        </w:rPr>
        <w:t>:</w:t>
      </w:r>
    </w:p>
    <w:p w:rsidR="00881185" w:rsidRPr="00DE7441" w:rsidRDefault="00881185" w:rsidP="00881185">
      <w:pPr>
        <w:widowControl w:val="0"/>
        <w:numPr>
          <w:ilvl w:val="0"/>
          <w:numId w:val="1"/>
        </w:numPr>
        <w:autoSpaceDE w:val="0"/>
        <w:autoSpaceDN w:val="0"/>
        <w:adjustRightInd w:val="0"/>
        <w:spacing w:after="240"/>
        <w:rPr>
          <w:rFonts w:ascii="Calibri" w:hAnsi="Calibri" w:cs="Arial"/>
          <w:sz w:val="22"/>
          <w:szCs w:val="22"/>
          <w:lang w:val="tr-TR"/>
        </w:rPr>
      </w:pPr>
      <w:r w:rsidRPr="00DE7441">
        <w:rPr>
          <w:rFonts w:ascii="Calibri" w:hAnsi="Calibri" w:cs="Arial" w:hint="eastAsia"/>
          <w:sz w:val="22"/>
          <w:szCs w:val="22"/>
          <w:lang w:val="tr-TR"/>
        </w:rPr>
        <w:tab/>
      </w:r>
      <w:r w:rsidRPr="00DE7441">
        <w:rPr>
          <w:rFonts w:ascii="Calibri" w:hAnsi="Calibri" w:cs="Arial" w:hint="eastAsia"/>
          <w:sz w:val="22"/>
          <w:szCs w:val="22"/>
          <w:lang w:val="tr-TR"/>
        </w:rPr>
        <w:tab/>
      </w:r>
      <w:r w:rsidRPr="00DE7441">
        <w:rPr>
          <w:rFonts w:ascii="Calibri" w:hAnsi="Calibri" w:cs="Arial"/>
          <w:sz w:val="22"/>
          <w:szCs w:val="22"/>
          <w:lang w:val="tr-TR"/>
        </w:rPr>
        <w:t></w:t>
      </w:r>
      <w:r w:rsidRPr="00DE7441">
        <w:rPr>
          <w:rFonts w:ascii="Calibri" w:hAnsi="Calibri" w:cs="Arial" w:hint="eastAsia"/>
          <w:sz w:val="22"/>
          <w:szCs w:val="22"/>
          <w:lang w:val="tr-TR"/>
        </w:rPr>
        <w:t xml:space="preserve">  </w:t>
      </w:r>
      <w:r w:rsidR="00A84787" w:rsidRPr="00DE7441">
        <w:rPr>
          <w:rFonts w:ascii="Calibri" w:hAnsi="Calibri" w:cs="Arial"/>
          <w:sz w:val="22"/>
          <w:szCs w:val="22"/>
          <w:lang w:val="tr-TR"/>
        </w:rPr>
        <w:t xml:space="preserve">Adalet ve Kalkınma Partisinden (AKP) 317 milletvekilinden 27’si – çoğunluk </w:t>
      </w:r>
    </w:p>
    <w:p w:rsidR="00881185" w:rsidRPr="00DE7441" w:rsidRDefault="00881185" w:rsidP="00881185">
      <w:pPr>
        <w:widowControl w:val="0"/>
        <w:numPr>
          <w:ilvl w:val="0"/>
          <w:numId w:val="1"/>
        </w:numPr>
        <w:autoSpaceDE w:val="0"/>
        <w:autoSpaceDN w:val="0"/>
        <w:adjustRightInd w:val="0"/>
        <w:spacing w:after="240"/>
        <w:rPr>
          <w:rFonts w:ascii="Calibri" w:hAnsi="Calibri" w:cs="Arial"/>
          <w:sz w:val="22"/>
          <w:szCs w:val="22"/>
          <w:lang w:val="tr-TR"/>
        </w:rPr>
      </w:pPr>
      <w:r w:rsidRPr="00DE7441">
        <w:rPr>
          <w:rFonts w:ascii="Calibri" w:hAnsi="Calibri" w:cs="Arial" w:hint="eastAsia"/>
          <w:sz w:val="22"/>
          <w:szCs w:val="22"/>
          <w:lang w:val="tr-TR"/>
        </w:rPr>
        <w:tab/>
      </w:r>
      <w:r w:rsidRPr="00DE7441">
        <w:rPr>
          <w:rFonts w:ascii="Calibri" w:hAnsi="Calibri" w:cs="Arial" w:hint="eastAsia"/>
          <w:sz w:val="22"/>
          <w:szCs w:val="22"/>
          <w:lang w:val="tr-TR"/>
        </w:rPr>
        <w:tab/>
      </w:r>
      <w:r w:rsidRPr="00DE7441">
        <w:rPr>
          <w:rFonts w:ascii="Calibri" w:hAnsi="Calibri" w:cs="Arial"/>
          <w:sz w:val="22"/>
          <w:szCs w:val="22"/>
          <w:lang w:val="tr-TR"/>
        </w:rPr>
        <w:t></w:t>
      </w:r>
      <w:r w:rsidRPr="00DE7441">
        <w:rPr>
          <w:rFonts w:ascii="Calibri" w:hAnsi="Calibri" w:cs="Arial" w:hint="eastAsia"/>
          <w:sz w:val="22"/>
          <w:szCs w:val="22"/>
          <w:lang w:val="tr-TR"/>
        </w:rPr>
        <w:t xml:space="preserve">  </w:t>
      </w:r>
      <w:r w:rsidR="00A84787" w:rsidRPr="00DE7441">
        <w:rPr>
          <w:rFonts w:ascii="Calibri" w:hAnsi="Calibri" w:cs="Arial"/>
          <w:sz w:val="22"/>
          <w:szCs w:val="22"/>
          <w:lang w:val="tr-TR"/>
        </w:rPr>
        <w:t xml:space="preserve">Cumhuriyet Halk Partisinden (CHP) 133 milletvekilinden 51’i – muhalefet </w:t>
      </w:r>
    </w:p>
    <w:p w:rsidR="00881185" w:rsidRPr="00DE7441" w:rsidRDefault="00881185" w:rsidP="00881185">
      <w:pPr>
        <w:widowControl w:val="0"/>
        <w:numPr>
          <w:ilvl w:val="0"/>
          <w:numId w:val="1"/>
        </w:numPr>
        <w:autoSpaceDE w:val="0"/>
        <w:autoSpaceDN w:val="0"/>
        <w:adjustRightInd w:val="0"/>
        <w:spacing w:after="240"/>
        <w:rPr>
          <w:rFonts w:ascii="Calibri" w:hAnsi="Calibri" w:cs="Arial"/>
          <w:sz w:val="22"/>
          <w:szCs w:val="22"/>
          <w:lang w:val="tr-TR"/>
        </w:rPr>
      </w:pPr>
      <w:r w:rsidRPr="00DE7441">
        <w:rPr>
          <w:rFonts w:ascii="Calibri" w:hAnsi="Calibri" w:cs="Arial" w:hint="eastAsia"/>
          <w:sz w:val="22"/>
          <w:szCs w:val="22"/>
          <w:lang w:val="tr-TR"/>
        </w:rPr>
        <w:tab/>
      </w:r>
      <w:r w:rsidRPr="00DE7441">
        <w:rPr>
          <w:rFonts w:ascii="Calibri" w:hAnsi="Calibri" w:cs="Arial" w:hint="eastAsia"/>
          <w:sz w:val="22"/>
          <w:szCs w:val="22"/>
          <w:lang w:val="tr-TR"/>
        </w:rPr>
        <w:tab/>
      </w:r>
      <w:r w:rsidRPr="00DE7441">
        <w:rPr>
          <w:rFonts w:ascii="Calibri" w:hAnsi="Calibri" w:cs="Arial"/>
          <w:sz w:val="22"/>
          <w:szCs w:val="22"/>
          <w:lang w:val="tr-TR"/>
        </w:rPr>
        <w:t></w:t>
      </w:r>
      <w:r w:rsidRPr="00DE7441">
        <w:rPr>
          <w:rFonts w:ascii="Calibri" w:hAnsi="Calibri" w:cs="Arial" w:hint="eastAsia"/>
          <w:sz w:val="22"/>
          <w:szCs w:val="22"/>
          <w:lang w:val="tr-TR"/>
        </w:rPr>
        <w:t xml:space="preserve">  </w:t>
      </w:r>
      <w:r w:rsidR="00A84787" w:rsidRPr="00DE7441">
        <w:rPr>
          <w:rFonts w:ascii="Calibri" w:hAnsi="Calibri" w:cs="Arial"/>
          <w:sz w:val="22"/>
          <w:szCs w:val="22"/>
          <w:lang w:val="tr-TR"/>
        </w:rPr>
        <w:t xml:space="preserve">Halkların Demokratik Partisinden (HDP)59 milletvekilinden 51’i – muhalefet </w:t>
      </w:r>
    </w:p>
    <w:p w:rsidR="00881185" w:rsidRPr="00DE7441" w:rsidRDefault="00881185" w:rsidP="00881185">
      <w:pPr>
        <w:widowControl w:val="0"/>
        <w:numPr>
          <w:ilvl w:val="0"/>
          <w:numId w:val="1"/>
        </w:numPr>
        <w:autoSpaceDE w:val="0"/>
        <w:autoSpaceDN w:val="0"/>
        <w:adjustRightInd w:val="0"/>
        <w:spacing w:after="240"/>
        <w:rPr>
          <w:rFonts w:ascii="Calibri" w:hAnsi="Calibri" w:cs="Arial"/>
          <w:sz w:val="22"/>
          <w:szCs w:val="22"/>
          <w:lang w:val="tr-TR"/>
        </w:rPr>
      </w:pPr>
      <w:r w:rsidRPr="00DE7441">
        <w:rPr>
          <w:rFonts w:ascii="Calibri" w:hAnsi="Calibri" w:cs="Arial" w:hint="eastAsia"/>
          <w:sz w:val="22"/>
          <w:szCs w:val="22"/>
          <w:lang w:val="tr-TR"/>
        </w:rPr>
        <w:tab/>
      </w:r>
      <w:r w:rsidRPr="00DE7441">
        <w:rPr>
          <w:rFonts w:ascii="Calibri" w:hAnsi="Calibri" w:cs="Arial" w:hint="eastAsia"/>
          <w:sz w:val="22"/>
          <w:szCs w:val="22"/>
          <w:lang w:val="tr-TR"/>
        </w:rPr>
        <w:tab/>
      </w:r>
      <w:r w:rsidRPr="00DE7441">
        <w:rPr>
          <w:rFonts w:ascii="Calibri" w:hAnsi="Calibri" w:cs="Arial"/>
          <w:sz w:val="22"/>
          <w:szCs w:val="22"/>
          <w:lang w:val="tr-TR"/>
        </w:rPr>
        <w:t></w:t>
      </w:r>
      <w:r w:rsidRPr="00DE7441">
        <w:rPr>
          <w:rFonts w:ascii="Calibri" w:hAnsi="Calibri" w:cs="Arial" w:hint="eastAsia"/>
          <w:sz w:val="22"/>
          <w:szCs w:val="22"/>
          <w:lang w:val="tr-TR"/>
        </w:rPr>
        <w:t xml:space="preserve">  </w:t>
      </w:r>
      <w:r w:rsidR="00A84787" w:rsidRPr="00DE7441">
        <w:rPr>
          <w:rFonts w:ascii="Calibri" w:hAnsi="Calibri" w:cs="Arial"/>
          <w:sz w:val="22"/>
          <w:szCs w:val="22"/>
          <w:lang w:val="tr-TR"/>
        </w:rPr>
        <w:t xml:space="preserve">Milliyetçi Hareket Partisinden (MHP) 40 milletvekilinden 9’u – muhalefet </w:t>
      </w:r>
      <w:r w:rsidRPr="00DE7441">
        <w:rPr>
          <w:rFonts w:ascii="Calibri" w:hAnsi="Calibri" w:cs="Arial"/>
          <w:sz w:val="22"/>
          <w:szCs w:val="22"/>
          <w:lang w:val="tr-TR"/>
        </w:rPr>
        <w:t xml:space="preserve">9 </w:t>
      </w:r>
    </w:p>
    <w:p w:rsidR="00881185" w:rsidRPr="00DE7441" w:rsidRDefault="00881185" w:rsidP="00881185">
      <w:pPr>
        <w:widowControl w:val="0"/>
        <w:numPr>
          <w:ilvl w:val="0"/>
          <w:numId w:val="1"/>
        </w:numPr>
        <w:autoSpaceDE w:val="0"/>
        <w:autoSpaceDN w:val="0"/>
        <w:adjustRightInd w:val="0"/>
        <w:spacing w:after="240"/>
        <w:rPr>
          <w:rFonts w:ascii="Calibri" w:hAnsi="Calibri" w:cs="Arial"/>
          <w:sz w:val="22"/>
          <w:szCs w:val="22"/>
          <w:lang w:val="tr-TR"/>
        </w:rPr>
      </w:pPr>
      <w:r w:rsidRPr="00DE7441">
        <w:rPr>
          <w:rFonts w:ascii="Calibri" w:hAnsi="Calibri" w:cs="Arial" w:hint="eastAsia"/>
          <w:sz w:val="22"/>
          <w:szCs w:val="22"/>
          <w:lang w:val="tr-TR"/>
        </w:rPr>
        <w:tab/>
      </w:r>
      <w:r w:rsidRPr="00DE7441">
        <w:rPr>
          <w:rFonts w:ascii="Calibri" w:hAnsi="Calibri" w:cs="Arial" w:hint="eastAsia"/>
          <w:sz w:val="22"/>
          <w:szCs w:val="22"/>
          <w:lang w:val="tr-TR"/>
        </w:rPr>
        <w:tab/>
      </w:r>
      <w:r w:rsidRPr="00DE7441">
        <w:rPr>
          <w:rFonts w:ascii="Calibri" w:hAnsi="Calibri" w:cs="Arial"/>
          <w:sz w:val="22"/>
          <w:szCs w:val="22"/>
          <w:lang w:val="tr-TR"/>
        </w:rPr>
        <w:t></w:t>
      </w:r>
      <w:r w:rsidRPr="00DE7441">
        <w:rPr>
          <w:rFonts w:ascii="Calibri" w:hAnsi="Calibri" w:cs="Arial" w:hint="eastAsia"/>
          <w:sz w:val="22"/>
          <w:szCs w:val="22"/>
          <w:lang w:val="tr-TR"/>
        </w:rPr>
        <w:t xml:space="preserve">  </w:t>
      </w:r>
      <w:r w:rsidR="00D06A17" w:rsidRPr="00DE7441">
        <w:rPr>
          <w:rFonts w:ascii="Calibri" w:hAnsi="Calibri" w:cs="Arial"/>
          <w:sz w:val="22"/>
          <w:szCs w:val="22"/>
          <w:lang w:val="tr-TR"/>
        </w:rPr>
        <w:t xml:space="preserve">1 bağımsız </w:t>
      </w:r>
      <w:r w:rsidR="00DE7441" w:rsidRPr="00DE7441">
        <w:rPr>
          <w:rFonts w:ascii="Calibri" w:hAnsi="Calibri" w:cs="Arial"/>
          <w:sz w:val="22"/>
          <w:szCs w:val="22"/>
          <w:lang w:val="tr-TR"/>
        </w:rPr>
        <w:t>milletvekilinden</w:t>
      </w:r>
      <w:r w:rsidR="00D06A17" w:rsidRPr="00DE7441">
        <w:rPr>
          <w:rFonts w:ascii="Calibri" w:hAnsi="Calibri" w:cs="Arial"/>
          <w:sz w:val="22"/>
          <w:szCs w:val="22"/>
          <w:lang w:val="tr-TR"/>
        </w:rPr>
        <w:t xml:space="preserve"> 1’i. Heyetin muhataplarından bazıları, biraz daha farklı rakamlar vermişlerdir ancak bunlar genel tabloyu etkilememektedir. Özellikle HDP temsilcileri, dokunulmazlıkların kaldırılmasının 59 milletvekilinden </w:t>
      </w:r>
      <w:r w:rsidR="00DE7441">
        <w:rPr>
          <w:rFonts w:ascii="Calibri" w:hAnsi="Calibri" w:cs="Arial"/>
          <w:sz w:val="22"/>
          <w:szCs w:val="22"/>
          <w:lang w:val="tr-TR"/>
        </w:rPr>
        <w:t>55’i</w:t>
      </w:r>
      <w:r w:rsidR="00D06A17" w:rsidRPr="00DE7441">
        <w:rPr>
          <w:rFonts w:ascii="Calibri" w:hAnsi="Calibri" w:cs="Arial"/>
          <w:sz w:val="22"/>
          <w:szCs w:val="22"/>
          <w:lang w:val="tr-TR"/>
        </w:rPr>
        <w:t xml:space="preserve"> ile </w:t>
      </w:r>
      <w:r w:rsidR="00DE7441" w:rsidRPr="00DE7441">
        <w:rPr>
          <w:rFonts w:ascii="Calibri" w:hAnsi="Calibri" w:cs="Arial"/>
          <w:sz w:val="22"/>
          <w:szCs w:val="22"/>
          <w:lang w:val="tr-TR"/>
        </w:rPr>
        <w:t>ilgili</w:t>
      </w:r>
      <w:r w:rsidR="00D06A17" w:rsidRPr="00DE7441">
        <w:rPr>
          <w:rFonts w:ascii="Calibri" w:hAnsi="Calibri" w:cs="Arial"/>
          <w:sz w:val="22"/>
          <w:szCs w:val="22"/>
          <w:lang w:val="tr-TR"/>
        </w:rPr>
        <w:t xml:space="preserve"> olduğunu belirtmiştir. </w:t>
      </w:r>
      <w:r w:rsidRPr="00DE7441">
        <w:rPr>
          <w:rFonts w:ascii="Calibri" w:hAnsi="Calibri" w:cs="Arial"/>
          <w:sz w:val="22"/>
          <w:szCs w:val="22"/>
          <w:lang w:val="tr-TR"/>
        </w:rPr>
        <w:t> </w:t>
      </w:r>
    </w:p>
    <w:p w:rsidR="00556E3D" w:rsidRPr="00DE7441" w:rsidRDefault="00881185"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36. </w:t>
      </w:r>
      <w:r w:rsidR="00695271" w:rsidRPr="00DE7441">
        <w:rPr>
          <w:rFonts w:ascii="Calibri" w:hAnsi="Calibri" w:cs="Arial"/>
          <w:sz w:val="22"/>
          <w:szCs w:val="22"/>
          <w:lang w:val="tr-TR"/>
        </w:rPr>
        <w:t xml:space="preserve">Değişiklik, en fazla etkilenen siyasi parti olan </w:t>
      </w:r>
      <w:proofErr w:type="spellStart"/>
      <w:r w:rsidR="00695271" w:rsidRPr="00DE7441">
        <w:rPr>
          <w:rFonts w:ascii="Calibri" w:hAnsi="Calibri" w:cs="Arial"/>
          <w:sz w:val="22"/>
          <w:szCs w:val="22"/>
          <w:lang w:val="tr-TR"/>
        </w:rPr>
        <w:t>HDP’nin</w:t>
      </w:r>
      <w:proofErr w:type="spellEnd"/>
      <w:r w:rsidR="00695271" w:rsidRPr="00DE7441">
        <w:rPr>
          <w:rFonts w:ascii="Calibri" w:hAnsi="Calibri" w:cs="Arial"/>
          <w:sz w:val="22"/>
          <w:szCs w:val="22"/>
          <w:lang w:val="tr-TR"/>
        </w:rPr>
        <w:t xml:space="preserve"> oylarına karşı yüksek bir anayasal çoğunlukla kabul edilmiştir. Heyet’e Anayasa değişikliğini Anayasaya aykırı gördüğü halde, ana muhalefet partisi CHP’nin terör faaliyetlerini destekleyen kişileri korumak istemekle suçlanmamak için kabul oyu verdiği yolunda bilgi verilmiştir</w:t>
      </w:r>
      <w:r w:rsidRPr="00DE7441">
        <w:rPr>
          <w:rFonts w:ascii="Calibri" w:hAnsi="Calibri" w:cs="Arial"/>
          <w:sz w:val="22"/>
          <w:szCs w:val="22"/>
          <w:lang w:val="tr-TR"/>
        </w:rPr>
        <w:t xml:space="preserve">. </w:t>
      </w:r>
    </w:p>
    <w:p w:rsidR="00AF40E0" w:rsidRPr="00DE7441" w:rsidRDefault="00556E3D"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37. Komisyon </w:t>
      </w:r>
      <w:proofErr w:type="spellStart"/>
      <w:proofErr w:type="gramStart"/>
      <w:r w:rsidRPr="00DE7441">
        <w:rPr>
          <w:rFonts w:ascii="Calibri" w:hAnsi="Calibri" w:cs="Arial"/>
          <w:sz w:val="22"/>
          <w:szCs w:val="22"/>
          <w:lang w:val="tr-TR"/>
        </w:rPr>
        <w:t>heyetine</w:t>
      </w:r>
      <w:r w:rsidR="00AF40E0" w:rsidRPr="00DE7441">
        <w:rPr>
          <w:rFonts w:ascii="Calibri" w:hAnsi="Calibri" w:cs="Arial"/>
          <w:sz w:val="22"/>
          <w:szCs w:val="22"/>
          <w:lang w:val="tr-TR"/>
        </w:rPr>
        <w:t>,Değişikliğin</w:t>
      </w:r>
      <w:proofErr w:type="spellEnd"/>
      <w:proofErr w:type="gramEnd"/>
      <w:r w:rsidR="00AF40E0" w:rsidRPr="00DE7441">
        <w:rPr>
          <w:rFonts w:ascii="Calibri" w:hAnsi="Calibri" w:cs="Arial"/>
          <w:sz w:val="22"/>
          <w:szCs w:val="22"/>
          <w:lang w:val="tr-TR"/>
        </w:rPr>
        <w:t xml:space="preserve"> kabulünden sonra dokunulmazlığı kaldırılan çoğu Meclis üyesinin savcılık tarafından çağrıldığı ve sorgulandığı bildirilmiştir. Muhalefetteki HDP milletvekillerinin Değişikliğin geçerliliğine itiraz ettikleri için bu çağrılara uymamışlardır.  Diğer partilere mensup milletvekillerinin çağrılara uyduğu anlaşılmaktadır. Bu tarihe kadar 139 milletvekilinden hiçbiri gözaltına alınmamıştır ancak HDP milletvekilleri partilerine mensup milletvekillerinin yakında gözaltına alınmasını beklemektedir. </w:t>
      </w:r>
    </w:p>
    <w:p w:rsidR="00F8778D" w:rsidRPr="00DE7441" w:rsidRDefault="00F8778D" w:rsidP="002130BE">
      <w:pPr>
        <w:pStyle w:val="Balk1"/>
      </w:pPr>
      <w:bookmarkStart w:id="8" w:name="_Toc341526730"/>
      <w:r w:rsidRPr="00DE7441">
        <w:t>VI. 3 Haziran 2016 Tarih ve 2016/117 Sayılı anayasa Mahkemesi Kararı</w:t>
      </w:r>
      <w:bookmarkEnd w:id="8"/>
    </w:p>
    <w:p w:rsidR="002130BE" w:rsidRPr="00DE7441" w:rsidRDefault="002130BE" w:rsidP="002130BE">
      <w:pPr>
        <w:rPr>
          <w:lang w:val="tr-TR"/>
        </w:rPr>
      </w:pPr>
    </w:p>
    <w:p w:rsidR="00F8778D" w:rsidRPr="00DE7441" w:rsidRDefault="00F8778D"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38. </w:t>
      </w:r>
      <w:r w:rsidR="007A3B11" w:rsidRPr="00DE7441">
        <w:rPr>
          <w:rFonts w:ascii="Calibri" w:hAnsi="Calibri" w:cs="Arial"/>
          <w:sz w:val="22"/>
          <w:szCs w:val="22"/>
          <w:lang w:val="tr-TR"/>
        </w:rPr>
        <w:t xml:space="preserve">3 Haziran 2016 tarih ve </w:t>
      </w:r>
      <w:r w:rsidRPr="00DE7441">
        <w:rPr>
          <w:rFonts w:ascii="Calibri" w:hAnsi="Calibri" w:cs="Arial"/>
          <w:sz w:val="22"/>
          <w:szCs w:val="22"/>
          <w:lang w:val="tr-TR"/>
        </w:rPr>
        <w:t xml:space="preserve">2016/117 </w:t>
      </w:r>
      <w:r w:rsidR="007A3B11" w:rsidRPr="00DE7441">
        <w:rPr>
          <w:rFonts w:ascii="Calibri" w:hAnsi="Calibri" w:cs="Arial"/>
          <w:sz w:val="22"/>
          <w:szCs w:val="22"/>
          <w:lang w:val="tr-TR"/>
        </w:rPr>
        <w:t xml:space="preserve">sayılı kararında anayasa Mahkemesi 12 Nisan 2016 tarihli Anayasa Değişikliğinin, Anayasa Mahkemesinin 85. madde kapsamında </w:t>
      </w:r>
      <w:r w:rsidR="00DE7441" w:rsidRPr="00DE7441">
        <w:rPr>
          <w:rFonts w:ascii="Calibri" w:hAnsi="Calibri" w:cs="Arial"/>
          <w:sz w:val="22"/>
          <w:szCs w:val="22"/>
          <w:lang w:val="tr-TR"/>
        </w:rPr>
        <w:t>denetleyebileceği</w:t>
      </w:r>
      <w:r w:rsidR="007A3B11" w:rsidRPr="00DE7441">
        <w:rPr>
          <w:rFonts w:ascii="Calibri" w:hAnsi="Calibri" w:cs="Arial"/>
          <w:sz w:val="22"/>
          <w:szCs w:val="22"/>
          <w:lang w:val="tr-TR"/>
        </w:rPr>
        <w:t xml:space="preserve"> ve anayasanın 83. Maddesi kapsamında dokunulmazlığın kaldırılmasına yönelik bir meclis kararı olarak görülmesine talebiyle yapılan bir başvuru üzerine görüş bildirmiştir. Bu gerekçeyle başvurucular Anayasanın 83. Maddesi ve TBMM’nin İçtüzüğünde öngörüldüğü şekilde dokunulmazlıkların kaldırılması usulünde dinlenmedikleri için savunma haklarına saygı gösterilmediğini ileri sürmüşlerdir.   </w:t>
      </w:r>
    </w:p>
    <w:p w:rsidR="00F8778D" w:rsidRPr="00DE7441" w:rsidRDefault="00F8778D"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39. </w:t>
      </w:r>
      <w:r w:rsidR="00AB49D1" w:rsidRPr="00DE7441">
        <w:rPr>
          <w:rFonts w:ascii="Calibri" w:hAnsi="Calibri" w:cs="Arial"/>
          <w:sz w:val="22"/>
          <w:szCs w:val="22"/>
          <w:lang w:val="tr-TR"/>
        </w:rPr>
        <w:t>A</w:t>
      </w:r>
      <w:r w:rsidR="007A3B11" w:rsidRPr="00DE7441">
        <w:rPr>
          <w:rFonts w:ascii="Calibri" w:hAnsi="Calibri" w:cs="Arial"/>
          <w:sz w:val="22"/>
          <w:szCs w:val="22"/>
          <w:lang w:val="tr-TR"/>
        </w:rPr>
        <w:t>nayasa Mahkemesi, oybirliğiyle verdiği kararında, 12 Nisan 2016 tarihinde TBMM tarafından kabul edilen kararın Anayasanın 85. Maddesi kapsamında denetlenemeyeceğini çünkü Anayasa Değişikliğinde olması gereken usule ilişkin unsurları taşıdığını ifade etmiştir (</w:t>
      </w:r>
      <w:r w:rsidR="00AB49D1" w:rsidRPr="00DE7441">
        <w:rPr>
          <w:rFonts w:ascii="Calibri" w:hAnsi="Calibri" w:cs="Arial"/>
          <w:sz w:val="22"/>
          <w:szCs w:val="22"/>
          <w:lang w:val="tr-TR"/>
        </w:rPr>
        <w:t>başlık: ‘Türkiye Cumhuriyeti anayasasında Değişiklik Yapılmasına Dair Kanun Tasarısı’, nitelikli çoğunluk oyu gerekmektedir)</w:t>
      </w:r>
      <w:r w:rsidR="007A3B11" w:rsidRPr="00DE7441">
        <w:rPr>
          <w:rFonts w:ascii="Calibri" w:hAnsi="Calibri" w:cs="Arial"/>
          <w:sz w:val="22"/>
          <w:szCs w:val="22"/>
          <w:lang w:val="tr-TR"/>
        </w:rPr>
        <w:t>.</w:t>
      </w:r>
    </w:p>
    <w:p w:rsidR="00F8778D" w:rsidRPr="00DE7441" w:rsidRDefault="00F8778D"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lastRenderedPageBreak/>
        <w:t xml:space="preserve">40. </w:t>
      </w:r>
      <w:r w:rsidR="00C345FD" w:rsidRPr="00DE7441">
        <w:rPr>
          <w:rFonts w:ascii="Calibri" w:hAnsi="Calibri" w:cs="Arial"/>
          <w:sz w:val="22"/>
          <w:szCs w:val="22"/>
          <w:lang w:val="tr-TR"/>
        </w:rPr>
        <w:t xml:space="preserve">Anayasa mahkemesine göre: </w:t>
      </w:r>
      <w:r w:rsidR="00C345FD" w:rsidRPr="00DE7441">
        <w:rPr>
          <w:rFonts w:ascii="Calibri" w:hAnsi="Calibri" w:cs="Arial"/>
          <w:i/>
          <w:sz w:val="22"/>
          <w:szCs w:val="22"/>
          <w:lang w:val="tr-TR"/>
        </w:rPr>
        <w:t>“</w:t>
      </w:r>
      <w:r w:rsidR="00C345FD" w:rsidRPr="00DE7441">
        <w:rPr>
          <w:rFonts w:ascii="Calibri" w:hAnsi="Calibri" w:cs="Arial"/>
          <w:sz w:val="22"/>
          <w:szCs w:val="22"/>
          <w:lang w:val="tr-TR"/>
        </w:rPr>
        <w:t>Anayasad</w:t>
      </w:r>
      <w:r w:rsidR="00DE7441">
        <w:rPr>
          <w:rFonts w:ascii="Calibri" w:hAnsi="Calibri" w:cs="Arial"/>
          <w:sz w:val="22"/>
          <w:szCs w:val="22"/>
          <w:lang w:val="tr-TR"/>
        </w:rPr>
        <w:t>a değişiklik yapan bir kanunun A</w:t>
      </w:r>
      <w:r w:rsidR="00C345FD" w:rsidRPr="00DE7441">
        <w:rPr>
          <w:rFonts w:ascii="Calibri" w:hAnsi="Calibri" w:cs="Arial"/>
          <w:sz w:val="22"/>
          <w:szCs w:val="22"/>
          <w:lang w:val="tr-TR"/>
        </w:rPr>
        <w:t xml:space="preserve">nayasa </w:t>
      </w:r>
      <w:r w:rsidR="00DE7441" w:rsidRPr="00DE7441">
        <w:rPr>
          <w:rFonts w:ascii="Calibri" w:hAnsi="Calibri" w:cs="Arial"/>
          <w:sz w:val="22"/>
          <w:szCs w:val="22"/>
          <w:lang w:val="tr-TR"/>
        </w:rPr>
        <w:t>Mahkemesince</w:t>
      </w:r>
      <w:r w:rsidR="00C345FD" w:rsidRPr="00DE7441">
        <w:rPr>
          <w:rFonts w:ascii="Calibri" w:hAnsi="Calibri" w:cs="Arial"/>
          <w:sz w:val="22"/>
          <w:szCs w:val="22"/>
          <w:lang w:val="tr-TR"/>
        </w:rPr>
        <w:t xml:space="preserve"> denetimi ancak anayasanın 148. Maddesinin ikinci fıkrası uyarınca </w:t>
      </w:r>
      <w:r w:rsidR="00DE7441" w:rsidRPr="00DE7441">
        <w:rPr>
          <w:rFonts w:ascii="Calibri" w:hAnsi="Calibri" w:cs="Arial"/>
          <w:sz w:val="22"/>
          <w:szCs w:val="22"/>
          <w:lang w:val="tr-TR"/>
        </w:rPr>
        <w:t>açılan</w:t>
      </w:r>
      <w:r w:rsidR="00C345FD" w:rsidRPr="00DE7441">
        <w:rPr>
          <w:rFonts w:ascii="Calibri" w:hAnsi="Calibri" w:cs="Arial"/>
          <w:sz w:val="22"/>
          <w:szCs w:val="22"/>
          <w:lang w:val="tr-TR"/>
        </w:rPr>
        <w:t xml:space="preserve"> bir iptal davası ile mümkün olup söz konusu kanunun anayasanın 85. Maddesi çerçevesinde den</w:t>
      </w:r>
      <w:r w:rsidR="003647B6" w:rsidRPr="00DE7441">
        <w:rPr>
          <w:rFonts w:ascii="Calibri" w:hAnsi="Calibri" w:cs="Arial"/>
          <w:sz w:val="22"/>
          <w:szCs w:val="22"/>
          <w:lang w:val="tr-TR"/>
        </w:rPr>
        <w:t>etlenebilmesi olanaklı değildir</w:t>
      </w:r>
      <w:r w:rsidRPr="00DE7441">
        <w:rPr>
          <w:rFonts w:ascii="Calibri" w:hAnsi="Calibri" w:cs="Arial"/>
          <w:sz w:val="22"/>
          <w:szCs w:val="22"/>
          <w:lang w:val="tr-TR"/>
        </w:rPr>
        <w:t>”.</w:t>
      </w:r>
    </w:p>
    <w:p w:rsidR="003647B6" w:rsidRPr="00DE7441" w:rsidRDefault="003647B6"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41. </w:t>
      </w:r>
      <w:r w:rsidR="0049760F" w:rsidRPr="00DE7441">
        <w:rPr>
          <w:rFonts w:ascii="Calibri" w:hAnsi="Calibri" w:cs="Arial"/>
          <w:sz w:val="22"/>
          <w:szCs w:val="22"/>
          <w:lang w:val="tr-TR"/>
        </w:rPr>
        <w:t xml:space="preserve">anayasa Mahkemesi ayrıca şöyle belirtmiştir: “Anayasada açıkça öngörülmüş bir dava yolu kapsamında denetim olanağı </w:t>
      </w:r>
      <w:proofErr w:type="gramStart"/>
      <w:r w:rsidR="0049760F" w:rsidRPr="00DE7441">
        <w:rPr>
          <w:rFonts w:ascii="Calibri" w:hAnsi="Calibri" w:cs="Arial"/>
          <w:sz w:val="22"/>
          <w:szCs w:val="22"/>
          <w:lang w:val="tr-TR"/>
        </w:rPr>
        <w:t>bulunan  ve</w:t>
      </w:r>
      <w:proofErr w:type="gramEnd"/>
      <w:r w:rsidR="0049760F" w:rsidRPr="00DE7441">
        <w:rPr>
          <w:rFonts w:ascii="Calibri" w:hAnsi="Calibri" w:cs="Arial"/>
          <w:sz w:val="22"/>
          <w:szCs w:val="22"/>
          <w:lang w:val="tr-TR"/>
        </w:rPr>
        <w:t xml:space="preserve"> özel koşullara tabi tutulan Anayasaya aykırılık iddiasının, iptali talep edilen kuralın parlamento kararı niteliğinde olduğu ileri sürülerek Anayasanın 85. Maddesine göre  milletvekillerinin münferit iptal taleplerine konu edilmesi, anayasanın 148. Maddesi</w:t>
      </w:r>
      <w:r w:rsidR="0049760F" w:rsidRPr="00DE7441">
        <w:rPr>
          <w:rStyle w:val="DipnotBavurusu"/>
          <w:rFonts w:ascii="Calibri" w:hAnsi="Calibri" w:cs="Arial"/>
          <w:sz w:val="22"/>
          <w:szCs w:val="22"/>
          <w:lang w:val="tr-TR"/>
        </w:rPr>
        <w:footnoteReference w:id="13"/>
      </w:r>
      <w:r w:rsidR="0049760F" w:rsidRPr="00DE7441">
        <w:rPr>
          <w:rFonts w:ascii="Calibri" w:hAnsi="Calibri" w:cs="Arial"/>
          <w:sz w:val="22"/>
          <w:szCs w:val="22"/>
          <w:lang w:val="tr-TR"/>
        </w:rPr>
        <w:t xml:space="preserve"> hükmünün anlamsız ve işlevsiz hale gelmesi sonucunu doğurur”.  </w:t>
      </w:r>
    </w:p>
    <w:p w:rsidR="00E373B5" w:rsidRPr="00DE7441" w:rsidRDefault="00E373B5"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42. </w:t>
      </w:r>
      <w:r w:rsidR="00085873" w:rsidRPr="00DE7441">
        <w:rPr>
          <w:rFonts w:ascii="Calibri" w:hAnsi="Calibri" w:cs="Arial"/>
          <w:sz w:val="22"/>
          <w:szCs w:val="22"/>
          <w:lang w:val="tr-TR"/>
        </w:rPr>
        <w:t>Anayasanın 148. maddesi, Anayasa değişikliklerinde denetlemenin, teklif ve oylama çoğunluğuna ve ivedilikle görüşülemeyeceği şartına uyulup uyulmadığı hususları ile sınırlı olduğunu ifade eder</w:t>
      </w:r>
      <w:r w:rsidRPr="00DE7441">
        <w:rPr>
          <w:rFonts w:ascii="Calibri" w:hAnsi="Calibri" w:cs="Arial"/>
          <w:sz w:val="22"/>
          <w:szCs w:val="22"/>
          <w:lang w:val="tr-TR"/>
        </w:rPr>
        <w:t xml:space="preserve">. </w:t>
      </w:r>
      <w:r w:rsidR="00085873" w:rsidRPr="00DE7441">
        <w:rPr>
          <w:rFonts w:ascii="Calibri" w:hAnsi="Calibri" w:cs="Arial"/>
          <w:sz w:val="22"/>
          <w:szCs w:val="22"/>
          <w:lang w:val="tr-TR"/>
        </w:rPr>
        <w:t>148. Madde kapsamında yapılacak şekil bakımından denetlemenin, Cumhurbaşkanınca veya Türkiye Büyük Millet Meclisi üyelerinin beşte biri tarafından kanunun yayımlandığı tarihten itibaren on gün içinde istenebileceği belirtilmiştir</w:t>
      </w:r>
      <w:r w:rsidRPr="00DE7441">
        <w:rPr>
          <w:rFonts w:ascii="Calibri" w:hAnsi="Calibri" w:cs="Arial"/>
          <w:sz w:val="22"/>
          <w:szCs w:val="22"/>
          <w:lang w:val="tr-TR"/>
        </w:rPr>
        <w:t xml:space="preserve">. </w:t>
      </w:r>
    </w:p>
    <w:p w:rsidR="00E373B5" w:rsidRPr="00DE7441" w:rsidRDefault="00E373B5"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43. </w:t>
      </w:r>
      <w:r w:rsidR="00085873" w:rsidRPr="00DE7441">
        <w:rPr>
          <w:rFonts w:ascii="Calibri" w:hAnsi="Calibri" w:cs="Arial"/>
          <w:sz w:val="22"/>
          <w:szCs w:val="22"/>
          <w:lang w:val="tr-TR"/>
        </w:rPr>
        <w:t>Venedik Komisyonu, 148. Maddesi kapsamında Anayasa Mahkemesi’ne başvura</w:t>
      </w:r>
      <w:r w:rsidR="006972D6" w:rsidRPr="00DE7441">
        <w:rPr>
          <w:rFonts w:ascii="Calibri" w:hAnsi="Calibri" w:cs="Arial"/>
          <w:sz w:val="22"/>
          <w:szCs w:val="22"/>
          <w:lang w:val="tr-TR"/>
        </w:rPr>
        <w:t xml:space="preserve">cak yeterlilikte destek olmadığını öğrenmiştir. Muhalefet partisi CHP, değişikliğin Anayasa’ya aykırı olduğunu düşünmekte ancak terörü desteklemekle suçlanmamak için siyasi nedenlerle Değişiklik lehine oy kullanmaya karar vermiş (bkz. Bölüm V), bu nedenle de anayasaya aykırılığı gerekçesiyle itirazda bulunmamıştır. </w:t>
      </w:r>
    </w:p>
    <w:p w:rsidR="00E373B5" w:rsidRPr="00DE7441" w:rsidRDefault="00E373B5" w:rsidP="00E373B5">
      <w:pPr>
        <w:widowControl w:val="0"/>
        <w:autoSpaceDE w:val="0"/>
        <w:autoSpaceDN w:val="0"/>
        <w:adjustRightInd w:val="0"/>
        <w:spacing w:after="240"/>
        <w:ind w:left="360"/>
        <w:rPr>
          <w:rFonts w:ascii="Calibri" w:hAnsi="Calibri" w:cs="Arial"/>
          <w:sz w:val="22"/>
          <w:szCs w:val="22"/>
          <w:lang w:val="tr-TR"/>
        </w:rPr>
      </w:pPr>
      <w:r w:rsidRPr="00DE7441">
        <w:rPr>
          <w:rFonts w:ascii="Calibri" w:hAnsi="Calibri" w:cs="Arial"/>
          <w:sz w:val="22"/>
          <w:szCs w:val="22"/>
          <w:lang w:val="tr-TR"/>
        </w:rPr>
        <w:t xml:space="preserve">44. </w:t>
      </w:r>
      <w:r w:rsidR="006972D6" w:rsidRPr="00DE7441">
        <w:rPr>
          <w:rFonts w:ascii="Calibri" w:hAnsi="Calibri" w:cs="Arial"/>
          <w:sz w:val="22"/>
          <w:szCs w:val="22"/>
          <w:lang w:val="tr-TR"/>
        </w:rPr>
        <w:t xml:space="preserve">Sonuç olarak, Değişikliğin kabul edilmesinde uygulanan usul Anayasa Mahkemesi </w:t>
      </w:r>
      <w:r w:rsidR="006972D6" w:rsidRPr="00DE7441">
        <w:rPr>
          <w:rFonts w:ascii="Calibri" w:hAnsi="Calibri" w:cs="Arial"/>
          <w:sz w:val="22"/>
          <w:szCs w:val="22"/>
          <w:lang w:val="tr-TR"/>
        </w:rPr>
        <w:lastRenderedPageBreak/>
        <w:t xml:space="preserve">tarafından denetlenmemiştir. </w:t>
      </w:r>
    </w:p>
    <w:p w:rsidR="00FB3CE2" w:rsidRPr="00DE7441" w:rsidRDefault="00FB3CE2" w:rsidP="002130BE">
      <w:pPr>
        <w:pStyle w:val="Balk1"/>
      </w:pPr>
      <w:bookmarkStart w:id="9" w:name="_Toc341526731"/>
      <w:r w:rsidRPr="00DE7441">
        <w:t>VII. Analiz</w:t>
      </w:r>
      <w:bookmarkEnd w:id="9"/>
    </w:p>
    <w:p w:rsidR="004F7908" w:rsidRDefault="004F7908" w:rsidP="00FB3CE2">
      <w:pPr>
        <w:widowControl w:val="0"/>
        <w:autoSpaceDE w:val="0"/>
        <w:autoSpaceDN w:val="0"/>
        <w:adjustRightInd w:val="0"/>
        <w:spacing w:after="240"/>
        <w:ind w:left="360"/>
        <w:rPr>
          <w:rFonts w:ascii="Calibri" w:hAnsi="Calibri" w:cs="Arial"/>
          <w:sz w:val="22"/>
          <w:szCs w:val="22"/>
          <w:lang w:val="tr-TR"/>
        </w:rPr>
      </w:pPr>
    </w:p>
    <w:p w:rsidR="00FB3CE2" w:rsidRPr="00DE7441" w:rsidRDefault="00FB3CE2"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45. Yasama dokunulmazlığı konusunda iki önemli değer arasında bir rekabet vardır: bir yandan tüm vatandaşların kanun önünde eşitliği ilkesi, diğer yandan Meclis Üyelerine özel koruma getirilmesi. Bu iki değer arasındaki denge devletten devlete ve zamandan zamana değişiklik gösterebilir ve göstermektedir. </w:t>
      </w:r>
    </w:p>
    <w:p w:rsidR="00FB3CE2" w:rsidRPr="00DE7441" w:rsidRDefault="00FB3CE2"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46. Yukarıda ifade edildiği üzere, Venedik Komisyonu, milletvekili sorumsuzluğu ilkesinin korunmasından yanadır. Bu nedenle Komisyon, Değişikliğin milletvekili sorumsuzluğunu etkilememiş olmasından dolayı memnundur. </w:t>
      </w:r>
    </w:p>
    <w:p w:rsidR="00FB3CE2" w:rsidRPr="00DE7441" w:rsidRDefault="00FB3CE2"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47. Yasama dokunulmazlığı konusuna gelince, yukarıda ifade edildiği üzere, </w:t>
      </w:r>
      <w:r w:rsidR="00C918B1" w:rsidRPr="00DE7441">
        <w:rPr>
          <w:rFonts w:ascii="Calibri" w:hAnsi="Calibri" w:cs="Arial"/>
          <w:sz w:val="22"/>
          <w:szCs w:val="22"/>
          <w:lang w:val="tr-TR"/>
        </w:rPr>
        <w:t xml:space="preserve">Komisyon’un görüşüne göre, bu ayrıcalığın korunmasının gerekli </w:t>
      </w:r>
      <w:r w:rsidR="00E13369" w:rsidRPr="00DE7441">
        <w:rPr>
          <w:rFonts w:ascii="Calibri" w:hAnsi="Calibri" w:cs="Arial"/>
          <w:sz w:val="22"/>
          <w:szCs w:val="22"/>
          <w:lang w:val="tr-TR"/>
        </w:rPr>
        <w:t xml:space="preserve">ve haklı </w:t>
      </w:r>
      <w:r w:rsidR="00C918B1" w:rsidRPr="00DE7441">
        <w:rPr>
          <w:rFonts w:ascii="Calibri" w:hAnsi="Calibri" w:cs="Arial"/>
          <w:sz w:val="22"/>
          <w:szCs w:val="22"/>
          <w:lang w:val="tr-TR"/>
        </w:rPr>
        <w:t xml:space="preserve">olup olmadığı ilgili ülkenin özel durumuna bağlıdır. </w:t>
      </w:r>
      <w:r w:rsidR="00E13369" w:rsidRPr="00DE7441">
        <w:rPr>
          <w:rFonts w:ascii="Calibri" w:hAnsi="Calibri" w:cs="Arial"/>
          <w:sz w:val="22"/>
          <w:szCs w:val="22"/>
          <w:lang w:val="tr-TR"/>
        </w:rPr>
        <w:t>Bu nedenle, Komisyon mevcut durumda Türkiye’de yasama dokunulmazlığının kaldırılmasının haklı gösterilip gösterilemeyeceğini inceleyecektir. Ayrıca, Komisyon, seçilen yöntemin –belirgin güvenceler sağlayan bir Anayasa maddesinin geçici olarak askıya alınması- Avrupa’nın anayasal mirasından gelen ilkeler ve hukukun üstünlüğü ilkesi ile bağdaşıp bağdaşmadığını inceleyecektir</w:t>
      </w:r>
      <w:r w:rsidR="00E13369" w:rsidRPr="00DE7441">
        <w:rPr>
          <w:rStyle w:val="DipnotBavurusu"/>
          <w:rFonts w:ascii="Calibri" w:hAnsi="Calibri" w:cs="Arial"/>
          <w:sz w:val="22"/>
          <w:szCs w:val="22"/>
          <w:lang w:val="tr-TR"/>
        </w:rPr>
        <w:footnoteReference w:id="14"/>
      </w:r>
      <w:r w:rsidR="00E13369" w:rsidRPr="00DE7441">
        <w:rPr>
          <w:rFonts w:ascii="Calibri" w:hAnsi="Calibri" w:cs="Arial"/>
          <w:sz w:val="22"/>
          <w:szCs w:val="22"/>
          <w:lang w:val="tr-TR"/>
        </w:rPr>
        <w:t xml:space="preserve">.  </w:t>
      </w:r>
    </w:p>
    <w:p w:rsidR="005B6B3E" w:rsidRPr="00DE7441" w:rsidRDefault="005B6B3E" w:rsidP="002130BE">
      <w:pPr>
        <w:pStyle w:val="Balk2"/>
        <w:rPr>
          <w:lang w:val="tr-TR"/>
        </w:rPr>
      </w:pPr>
      <w:bookmarkStart w:id="10" w:name="_Toc341526732"/>
      <w:r w:rsidRPr="00DE7441">
        <w:rPr>
          <w:lang w:val="tr-TR"/>
        </w:rPr>
        <w:t xml:space="preserve">A. </w:t>
      </w:r>
      <w:r w:rsidR="003F116F" w:rsidRPr="00DE7441">
        <w:rPr>
          <w:lang w:val="tr-TR"/>
        </w:rPr>
        <w:t>Türkiye’de mevcut durumda dokunulmazlık ve ifade özgürlüğü</w:t>
      </w:r>
      <w:bookmarkEnd w:id="10"/>
    </w:p>
    <w:p w:rsidR="004F7908" w:rsidRDefault="004F7908" w:rsidP="003F116F">
      <w:pPr>
        <w:widowControl w:val="0"/>
        <w:autoSpaceDE w:val="0"/>
        <w:autoSpaceDN w:val="0"/>
        <w:adjustRightInd w:val="0"/>
        <w:spacing w:after="240"/>
        <w:ind w:left="360"/>
        <w:rPr>
          <w:rFonts w:ascii="Calibri" w:hAnsi="Calibri" w:cs="Arial"/>
          <w:sz w:val="22"/>
          <w:szCs w:val="22"/>
          <w:lang w:val="tr-TR"/>
        </w:rPr>
      </w:pPr>
    </w:p>
    <w:p w:rsidR="005041DD" w:rsidRPr="00DE7441" w:rsidRDefault="005B6B3E" w:rsidP="004F7908">
      <w:pPr>
        <w:widowControl w:val="0"/>
        <w:autoSpaceDE w:val="0"/>
        <w:autoSpaceDN w:val="0"/>
        <w:adjustRightInd w:val="0"/>
        <w:spacing w:after="240"/>
        <w:rPr>
          <w:rFonts w:ascii="Calibri" w:hAnsi="Calibri" w:cs="Arial"/>
          <w:sz w:val="22"/>
          <w:szCs w:val="22"/>
          <w:lang w:val="tr-TR"/>
        </w:rPr>
      </w:pPr>
      <w:proofErr w:type="gramStart"/>
      <w:r w:rsidRPr="00DE7441">
        <w:rPr>
          <w:rFonts w:ascii="Calibri" w:hAnsi="Calibri" w:cs="Arial"/>
          <w:sz w:val="22"/>
          <w:szCs w:val="22"/>
          <w:lang w:val="tr-TR"/>
        </w:rPr>
        <w:t xml:space="preserve">48. </w:t>
      </w:r>
      <w:r w:rsidR="003F116F" w:rsidRPr="00DE7441">
        <w:rPr>
          <w:rFonts w:ascii="Calibri" w:hAnsi="Calibri" w:cs="Arial"/>
          <w:sz w:val="22"/>
          <w:szCs w:val="22"/>
          <w:lang w:val="tr-TR"/>
        </w:rPr>
        <w:t xml:space="preserve">Anayasa Değişikliği teklifinin genel gerekçesinde </w:t>
      </w:r>
      <w:r w:rsidR="003F116F" w:rsidRPr="00DE7441">
        <w:rPr>
          <w:rFonts w:ascii="Calibri" w:hAnsi="Calibri" w:cs="Arial"/>
          <w:i/>
          <w:iCs/>
          <w:sz w:val="22"/>
          <w:szCs w:val="22"/>
          <w:lang w:val="tr-TR"/>
        </w:rPr>
        <w:t>“</w:t>
      </w:r>
      <w:r w:rsidR="003F116F" w:rsidRPr="00DE7441">
        <w:rPr>
          <w:rFonts w:ascii="Calibri" w:hAnsi="Calibri" w:cs="Arial"/>
          <w:sz w:val="22"/>
          <w:szCs w:val="22"/>
          <w:lang w:val="tr-TR"/>
        </w:rPr>
        <w:t>bazı milletvekillerinin seçilmeden önce ya da seçildikten sonra yapmış oldukları teröre manevi ve moral destek manasındaki açıklamaları, bazı milletvekillerinin teröre ve teröristlere fiili manada destek ve yardımları, bazı milletvekillerinin ise şiddet çağrıları kamuoyunda büyük infial</w:t>
      </w:r>
      <w:r w:rsidR="003F116F" w:rsidRPr="00DE7441">
        <w:rPr>
          <w:rFonts w:ascii="Calibri" w:hAnsi="Calibri" w:cs="Arial"/>
          <w:i/>
          <w:iCs/>
          <w:sz w:val="22"/>
          <w:szCs w:val="22"/>
          <w:lang w:val="tr-TR"/>
        </w:rPr>
        <w:t>”</w:t>
      </w:r>
      <w:r w:rsidR="003F116F" w:rsidRPr="00DE7441">
        <w:rPr>
          <w:rFonts w:ascii="Calibri" w:hAnsi="Calibri" w:cs="Arial"/>
          <w:sz w:val="22"/>
          <w:szCs w:val="22"/>
          <w:lang w:val="tr-TR"/>
        </w:rPr>
        <w:t xml:space="preserve"> meydana getirdiğini ve değişikliğin amacının bu konulara cevap vermek olduğu ifade edilmiştir. </w:t>
      </w:r>
      <w:proofErr w:type="gramEnd"/>
      <w:r w:rsidR="003F116F" w:rsidRPr="00DE7441">
        <w:rPr>
          <w:rFonts w:ascii="Calibri" w:hAnsi="Calibri" w:cs="Arial"/>
          <w:sz w:val="22"/>
          <w:szCs w:val="22"/>
          <w:lang w:val="tr-TR"/>
        </w:rPr>
        <w:t>Milletvekillerinin teröre destek olarak yorumlanabilecek ifadeleri gerçekten ceza hukuku kapsamında cezal</w:t>
      </w:r>
      <w:r w:rsidR="00DE7441">
        <w:rPr>
          <w:rFonts w:ascii="Calibri" w:hAnsi="Calibri" w:cs="Arial"/>
          <w:sz w:val="22"/>
          <w:szCs w:val="22"/>
          <w:lang w:val="tr-TR"/>
        </w:rPr>
        <w:t>andı</w:t>
      </w:r>
      <w:r w:rsidR="003F116F" w:rsidRPr="00DE7441">
        <w:rPr>
          <w:rFonts w:ascii="Calibri" w:hAnsi="Calibri" w:cs="Arial"/>
          <w:sz w:val="22"/>
          <w:szCs w:val="22"/>
          <w:lang w:val="tr-TR"/>
        </w:rPr>
        <w:t xml:space="preserve">rılabilir ancak bu türden ifadeler normalde siyasi nitelikte olduğundan </w:t>
      </w:r>
      <w:r w:rsidR="005041DD" w:rsidRPr="00DE7441">
        <w:rPr>
          <w:rFonts w:ascii="Calibri" w:hAnsi="Calibri" w:cs="Arial"/>
          <w:sz w:val="22"/>
          <w:szCs w:val="22"/>
          <w:lang w:val="tr-TR"/>
        </w:rPr>
        <w:t xml:space="preserve">yasama dokunulmazlığı kapsamında yer alıp almayacakları sorusu özellikle önemlidir. </w:t>
      </w:r>
    </w:p>
    <w:p w:rsidR="00556E3D" w:rsidRPr="00DE7441" w:rsidRDefault="005041DD" w:rsidP="004F7908">
      <w:pPr>
        <w:widowControl w:val="0"/>
        <w:autoSpaceDE w:val="0"/>
        <w:autoSpaceDN w:val="0"/>
        <w:adjustRightInd w:val="0"/>
        <w:spacing w:after="240"/>
        <w:rPr>
          <w:rFonts w:ascii="Calibri" w:hAnsi="Calibri" w:cs="Arial"/>
          <w:i/>
          <w:iCs/>
          <w:sz w:val="22"/>
          <w:szCs w:val="22"/>
          <w:lang w:val="tr-TR"/>
        </w:rPr>
      </w:pPr>
      <w:r w:rsidRPr="00DE7441">
        <w:rPr>
          <w:rFonts w:ascii="Calibri" w:hAnsi="Calibri" w:cs="Arial"/>
          <w:sz w:val="22"/>
          <w:szCs w:val="22"/>
          <w:lang w:val="tr-TR"/>
        </w:rPr>
        <w:t xml:space="preserve">49. Avrupa İnsan Hakları Mahkemesi’ne göre: </w:t>
      </w:r>
      <w:r w:rsidRPr="00DE7441">
        <w:rPr>
          <w:rFonts w:ascii="Calibri" w:hAnsi="Calibri" w:cs="Arial"/>
          <w:i/>
          <w:iCs/>
          <w:sz w:val="22"/>
          <w:szCs w:val="22"/>
          <w:lang w:val="tr-TR"/>
        </w:rPr>
        <w:t xml:space="preserve">“İfade özgürlüğü herkes için önemli olmakla birlikte halkın seçilmiş temsilcileri için özellikle önemlidir. Milletvekili seçmenlerini temsil eder, onların kaygılarına dikkat çeker ve menfaatlerini savunur. Bu doğrultuda, başvurucu </w:t>
      </w:r>
      <w:proofErr w:type="gramStart"/>
      <w:r w:rsidRPr="00DE7441">
        <w:rPr>
          <w:rFonts w:ascii="Calibri" w:hAnsi="Calibri" w:cs="Arial"/>
          <w:i/>
          <w:iCs/>
          <w:sz w:val="22"/>
          <w:szCs w:val="22"/>
          <w:lang w:val="tr-TR"/>
        </w:rPr>
        <w:t>gibi  bir</w:t>
      </w:r>
      <w:proofErr w:type="gramEnd"/>
      <w:r w:rsidRPr="00DE7441">
        <w:rPr>
          <w:rFonts w:ascii="Calibri" w:hAnsi="Calibri" w:cs="Arial"/>
          <w:i/>
          <w:iCs/>
          <w:sz w:val="22"/>
          <w:szCs w:val="22"/>
          <w:lang w:val="tr-TR"/>
        </w:rPr>
        <w:t xml:space="preserve"> muhalefet milletvekilinin ifade özgürlüğüne yapılan müdahalelerin Mahkeme tarafından dikkatlice incelenmesini gerektirir.</w:t>
      </w:r>
      <w:r w:rsidR="00195725" w:rsidRPr="00DE7441">
        <w:rPr>
          <w:rStyle w:val="DipnotBavurusu"/>
          <w:rFonts w:ascii="Calibri" w:hAnsi="Calibri" w:cs="Arial"/>
          <w:i/>
          <w:iCs/>
          <w:sz w:val="22"/>
          <w:szCs w:val="22"/>
          <w:lang w:val="tr-TR"/>
        </w:rPr>
        <w:footnoteReference w:id="15"/>
      </w:r>
      <w:r w:rsidRPr="00DE7441">
        <w:rPr>
          <w:rFonts w:ascii="Calibri" w:hAnsi="Calibri" w:cs="Arial"/>
          <w:iCs/>
          <w:sz w:val="22"/>
          <w:szCs w:val="22"/>
          <w:lang w:val="tr-TR"/>
        </w:rPr>
        <w:t>Yasama dokunulmazlığı ile ilgili olarak, Mahkeme şöyle demiştir</w:t>
      </w:r>
      <w:r w:rsidRPr="00DE7441">
        <w:rPr>
          <w:rFonts w:ascii="Calibri" w:hAnsi="Calibri" w:cs="Arial"/>
          <w:i/>
          <w:iCs/>
          <w:sz w:val="22"/>
          <w:szCs w:val="22"/>
          <w:lang w:val="tr-TR"/>
        </w:rPr>
        <w:t xml:space="preserve">: “yasama dokunulmazlığı sisteminin özünde olan nitelikler ve olağan hukuktan istisna tutulmanın amacı halkın temsilcilerine özgür ifade olanağı sağlamak ve yandaş partililerce yapılacak </w:t>
      </w:r>
      <w:proofErr w:type="gramStart"/>
      <w:r w:rsidRPr="00DE7441">
        <w:rPr>
          <w:rFonts w:ascii="Calibri" w:hAnsi="Calibri" w:cs="Arial"/>
          <w:i/>
          <w:iCs/>
          <w:sz w:val="22"/>
          <w:szCs w:val="22"/>
          <w:lang w:val="tr-TR"/>
        </w:rPr>
        <w:t>şikayetlerin</w:t>
      </w:r>
      <w:proofErr w:type="gramEnd"/>
      <w:r w:rsidRPr="00DE7441">
        <w:rPr>
          <w:rFonts w:ascii="Calibri" w:hAnsi="Calibri" w:cs="Arial"/>
          <w:i/>
          <w:iCs/>
          <w:sz w:val="22"/>
          <w:szCs w:val="22"/>
          <w:lang w:val="tr-TR"/>
        </w:rPr>
        <w:t xml:space="preserve"> meclis işlevlerini engellemesini önlemektir</w:t>
      </w:r>
      <w:r w:rsidR="00195725" w:rsidRPr="00DE7441">
        <w:rPr>
          <w:rStyle w:val="DipnotBavurusu"/>
          <w:rFonts w:ascii="Calibri" w:hAnsi="Calibri" w:cs="Arial"/>
          <w:i/>
          <w:iCs/>
          <w:sz w:val="22"/>
          <w:szCs w:val="22"/>
          <w:lang w:val="tr-TR"/>
        </w:rPr>
        <w:footnoteReference w:id="16"/>
      </w:r>
    </w:p>
    <w:p w:rsidR="00412F9C" w:rsidRPr="00DE7441" w:rsidRDefault="00195725"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lastRenderedPageBreak/>
        <w:t xml:space="preserve">50. Genel olarak, bazı dosyalar kaçakçılık, zimmete para geçirme gibi adi suçlarla ilgili olsa da, 12 Nisan 2016 tarihli Kararla dokunulmazlığın kaldırıldığı dosyaların çoğu ifadeyle ilgili suçlara ilişkindir; örneğin, Cumhurbaşkanına hakaret etmek, kamu görevlisine hakaret etmek, terör propagandası yapmak veya kine tahrik etmek. </w:t>
      </w:r>
      <w:r w:rsidR="00E60F78" w:rsidRPr="00DE7441">
        <w:rPr>
          <w:rFonts w:ascii="Calibri" w:hAnsi="Calibri" w:cs="Arial"/>
          <w:sz w:val="22"/>
          <w:szCs w:val="22"/>
          <w:lang w:val="tr-TR"/>
        </w:rPr>
        <w:t xml:space="preserve">Özgür ifadenin güvence altına almasının önemi düşünüldüğünde, Milletvekillerinin doğası gereği görevlerinin icrasıyla ilişkili olan Meclis dışındaki söylemleri </w:t>
      </w:r>
      <w:proofErr w:type="gramStart"/>
      <w:r w:rsidR="00E60F78" w:rsidRPr="00DE7441">
        <w:rPr>
          <w:rFonts w:ascii="Calibri" w:hAnsi="Calibri" w:cs="Arial"/>
          <w:sz w:val="22"/>
          <w:szCs w:val="22"/>
          <w:lang w:val="tr-TR"/>
        </w:rPr>
        <w:t>dahil</w:t>
      </w:r>
      <w:proofErr w:type="gramEnd"/>
      <w:r w:rsidR="00E60F78" w:rsidRPr="00DE7441">
        <w:rPr>
          <w:rFonts w:ascii="Calibri" w:hAnsi="Calibri" w:cs="Arial"/>
          <w:sz w:val="22"/>
          <w:szCs w:val="22"/>
          <w:lang w:val="tr-TR"/>
        </w:rPr>
        <w:t xml:space="preserve"> siyasi söylemlerinden ötürü yaptırıma tabi tutulmaları sorunlu hale gelmektedir. Savcılık </w:t>
      </w:r>
      <w:proofErr w:type="gramStart"/>
      <w:r w:rsidR="00E60F78" w:rsidRPr="00DE7441">
        <w:rPr>
          <w:rFonts w:ascii="Calibri" w:hAnsi="Calibri" w:cs="Arial"/>
          <w:sz w:val="22"/>
          <w:szCs w:val="22"/>
          <w:lang w:val="tr-TR"/>
        </w:rPr>
        <w:t>dahil</w:t>
      </w:r>
      <w:proofErr w:type="gramEnd"/>
      <w:r w:rsidR="00E60F78" w:rsidRPr="00DE7441">
        <w:rPr>
          <w:rFonts w:ascii="Calibri" w:hAnsi="Calibri" w:cs="Arial"/>
          <w:sz w:val="22"/>
          <w:szCs w:val="22"/>
          <w:lang w:val="tr-TR"/>
        </w:rPr>
        <w:t xml:space="preserve"> yargı sisteminin yeterince bağımsız olduğu ülkelerde adi suçlar için dokunulmazlığın kaldırılması için geçerli nedenler olabildiği halde, siyasi </w:t>
      </w:r>
      <w:proofErr w:type="spellStart"/>
      <w:r w:rsidR="00412F9C" w:rsidRPr="00DE7441">
        <w:rPr>
          <w:rFonts w:ascii="Calibri" w:hAnsi="Calibri" w:cs="Arial"/>
          <w:sz w:val="22"/>
          <w:szCs w:val="22"/>
          <w:lang w:val="tr-TR"/>
        </w:rPr>
        <w:t>nedenlerlegirişilenfiillereve</w:t>
      </w:r>
      <w:proofErr w:type="spellEnd"/>
      <w:r w:rsidR="00412F9C" w:rsidRPr="00DE7441">
        <w:rPr>
          <w:rFonts w:ascii="Calibri" w:hAnsi="Calibri" w:cs="Arial"/>
          <w:sz w:val="22"/>
          <w:szCs w:val="22"/>
          <w:lang w:val="tr-TR"/>
        </w:rPr>
        <w:t xml:space="preserve"> özellikle de siyasi söylem konusunda </w:t>
      </w:r>
      <w:r w:rsidR="00E60F78" w:rsidRPr="00DE7441">
        <w:rPr>
          <w:rFonts w:ascii="Calibri" w:hAnsi="Calibri" w:cs="Arial"/>
          <w:sz w:val="22"/>
          <w:szCs w:val="22"/>
          <w:lang w:val="tr-TR"/>
        </w:rPr>
        <w:t xml:space="preserve">son derece dikkatli bir yaklaşım benimsenmelidir. </w:t>
      </w:r>
      <w:r w:rsidR="00412F9C" w:rsidRPr="00DE7441">
        <w:rPr>
          <w:rFonts w:ascii="Calibri" w:hAnsi="Calibri" w:cs="Arial"/>
          <w:sz w:val="22"/>
          <w:szCs w:val="22"/>
          <w:lang w:val="tr-TR"/>
        </w:rPr>
        <w:t xml:space="preserve">Mevcut durumda, bir muhalefet </w:t>
      </w:r>
      <w:r w:rsidR="00DE7441" w:rsidRPr="00DE7441">
        <w:rPr>
          <w:rFonts w:ascii="Calibri" w:hAnsi="Calibri" w:cs="Arial"/>
          <w:sz w:val="22"/>
          <w:szCs w:val="22"/>
          <w:lang w:val="tr-TR"/>
        </w:rPr>
        <w:t>partisinin</w:t>
      </w:r>
      <w:r w:rsidR="00412F9C" w:rsidRPr="00DE7441">
        <w:rPr>
          <w:rFonts w:ascii="Calibri" w:hAnsi="Calibri" w:cs="Arial"/>
          <w:sz w:val="22"/>
          <w:szCs w:val="22"/>
          <w:lang w:val="tr-TR"/>
        </w:rPr>
        <w:t xml:space="preserve"> neredeyse bütün milletvekillerinin bu tedbirden etkilenmeleri durumu daha da sorunlu hale getirmektedir. </w:t>
      </w:r>
    </w:p>
    <w:p w:rsidR="00AC7633" w:rsidRPr="00DE7441" w:rsidRDefault="00AC7633" w:rsidP="004F7908">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51. Dikkatli davranılması için bir diğer neden, Türkiye’nin Avrupa İnsan Hakları Mahkemesi tarafından ifade özgürlüğü konusunda hakkında en çok ihlal kararı verilen ülkelerden biri olmasıdır. Şu anda Avrupa Konseyi Bakanlar Komitesi nezdinde, çoğu terör propagandası ile ilişkili ifade özgürlüğünün ihlal edildiği 104 kararın (</w:t>
      </w:r>
      <w:proofErr w:type="spellStart"/>
      <w:r w:rsidRPr="00DE7441">
        <w:rPr>
          <w:rFonts w:ascii="Calibri" w:hAnsi="Calibri" w:cs="Arial"/>
          <w:sz w:val="22"/>
          <w:szCs w:val="22"/>
          <w:lang w:val="tr-TR"/>
        </w:rPr>
        <w:t>Incal</w:t>
      </w:r>
      <w:proofErr w:type="spellEnd"/>
      <w:r w:rsidRPr="00DE7441">
        <w:rPr>
          <w:rFonts w:ascii="Calibri" w:hAnsi="Calibri" w:cs="Arial"/>
          <w:sz w:val="22"/>
          <w:szCs w:val="22"/>
          <w:lang w:val="tr-TR"/>
        </w:rPr>
        <w:t xml:space="preserve"> grubu davaları) uygulanması beklenmektedir</w:t>
      </w:r>
      <w:r w:rsidRPr="00DE7441">
        <w:rPr>
          <w:rStyle w:val="DipnotBavurusu"/>
          <w:rFonts w:ascii="Calibri" w:hAnsi="Calibri" w:cs="Arial"/>
          <w:sz w:val="22"/>
          <w:szCs w:val="22"/>
          <w:lang w:val="tr-TR"/>
        </w:rPr>
        <w:footnoteReference w:id="17"/>
      </w:r>
      <w:r w:rsidRPr="00DE7441">
        <w:rPr>
          <w:rFonts w:ascii="Calibri" w:hAnsi="Calibri" w:cs="Arial"/>
          <w:sz w:val="22"/>
          <w:szCs w:val="22"/>
          <w:lang w:val="tr-TR"/>
        </w:rPr>
        <w:t xml:space="preserve">. Bu davalara, Cumhurbaşkanına ve diğer kamu görevlilerine hakaret davaları da eklenmelidir. </w:t>
      </w:r>
    </w:p>
    <w:p w:rsidR="00AC7633" w:rsidRPr="00DE7441" w:rsidRDefault="00AC7633" w:rsidP="00AC7633">
      <w:pPr>
        <w:widowControl w:val="0"/>
        <w:autoSpaceDE w:val="0"/>
        <w:autoSpaceDN w:val="0"/>
        <w:adjustRightInd w:val="0"/>
        <w:spacing w:after="240"/>
        <w:rPr>
          <w:rFonts w:ascii="Calibri" w:hAnsi="Calibri" w:cs="Arial"/>
          <w:iCs/>
          <w:sz w:val="22"/>
          <w:szCs w:val="22"/>
          <w:lang w:val="tr-TR"/>
        </w:rPr>
      </w:pPr>
      <w:r w:rsidRPr="00DE7441">
        <w:rPr>
          <w:rFonts w:ascii="Calibri" w:hAnsi="Calibri" w:cs="Arial"/>
          <w:sz w:val="22"/>
          <w:szCs w:val="22"/>
          <w:lang w:val="tr-TR"/>
        </w:rPr>
        <w:t xml:space="preserve">52. Venedik Komisyonu, kişilerin ifadelerinden dolayı yargılanmalarına yol açan Türk Ceza Kanunu maddelerinin de geniş yorumlanmasına ilişkin kaygılarını ifade etmiştir. </w:t>
      </w:r>
      <w:proofErr w:type="gramStart"/>
      <w:r w:rsidRPr="00DE7441">
        <w:rPr>
          <w:rFonts w:ascii="Calibri" w:hAnsi="Calibri" w:cs="Arial"/>
          <w:sz w:val="22"/>
          <w:szCs w:val="22"/>
          <w:lang w:val="tr-TR"/>
        </w:rPr>
        <w:t xml:space="preserve">Türk Ceza Kanunu’nun 216, 299, 301 ve 314. Maddeleriyle ilgili Mart 2016’da yayınladığı Görüş’te Komisyon ifade özgürlüğü ile ilgili ceza kanunu hükümlerini incelemiş ve bu maddelerin </w:t>
      </w:r>
      <w:r w:rsidR="00D74634" w:rsidRPr="00DE7441">
        <w:rPr>
          <w:rFonts w:ascii="Calibri" w:hAnsi="Calibri" w:cs="Arial"/>
          <w:i/>
          <w:iCs/>
          <w:sz w:val="22"/>
          <w:szCs w:val="22"/>
          <w:lang w:val="tr-TR"/>
        </w:rPr>
        <w:t xml:space="preserve">“aşırı yaptırımlara neden olduğu ve fazlasıyla geniş uygulandığı, 10. Madde ilgili içtihat başta olmak üzere Avrupa İnsan Hakları Sözleşmesi ve Uluslararası Medeni ve Siyasi Haklara Dair Sözleşmenin 19. Maddesi kapsamında koruma altına alınan davranışları cezalandırdığı“ </w:t>
      </w:r>
      <w:r w:rsidR="00D74634" w:rsidRPr="00DE7441">
        <w:rPr>
          <w:rFonts w:ascii="Calibri" w:hAnsi="Calibri" w:cs="Arial"/>
          <w:iCs/>
          <w:sz w:val="22"/>
          <w:szCs w:val="22"/>
          <w:lang w:val="tr-TR"/>
        </w:rPr>
        <w:t>sonucuna varmıştır.</w:t>
      </w:r>
      <w:proofErr w:type="gramEnd"/>
      <w:r w:rsidR="00D74634" w:rsidRPr="00DE7441">
        <w:rPr>
          <w:rStyle w:val="DipnotBavurusu"/>
          <w:rFonts w:ascii="Calibri" w:hAnsi="Calibri" w:cs="Arial"/>
          <w:iCs/>
          <w:sz w:val="22"/>
          <w:szCs w:val="22"/>
          <w:lang w:val="tr-TR"/>
        </w:rPr>
        <w:footnoteReference w:id="18"/>
      </w:r>
    </w:p>
    <w:p w:rsidR="00555A02" w:rsidRPr="00DE7441" w:rsidRDefault="00555A02" w:rsidP="00555A02">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53. Özellikle Ceza Kanunu’nun 216. Maddesi (Halkı Kin ve Düşmanlığa Tahrik ve Aşağılama) </w:t>
      </w:r>
      <w:r w:rsidRPr="00DE7441">
        <w:rPr>
          <w:rFonts w:ascii="Calibri" w:hAnsi="Calibri" w:cs="Arial"/>
          <w:i/>
          <w:iCs/>
          <w:sz w:val="22"/>
          <w:szCs w:val="22"/>
          <w:lang w:val="tr-TR"/>
        </w:rPr>
        <w:t xml:space="preserve">“hükümet politikalarına karşı sert eleştirileri cezalandırmak için kullanılmamalıdır.” </w:t>
      </w:r>
      <w:proofErr w:type="gramStart"/>
      <w:r w:rsidRPr="00DE7441">
        <w:rPr>
          <w:rFonts w:ascii="Calibri" w:hAnsi="Calibri" w:cs="Arial"/>
          <w:sz w:val="22"/>
          <w:szCs w:val="22"/>
          <w:lang w:val="tr-TR"/>
        </w:rPr>
        <w:t>(</w:t>
      </w:r>
      <w:proofErr w:type="gramEnd"/>
      <w:r w:rsidRPr="00DE7441">
        <w:rPr>
          <w:rFonts w:ascii="Calibri" w:hAnsi="Calibri" w:cs="Arial"/>
          <w:sz w:val="22"/>
          <w:szCs w:val="22"/>
          <w:lang w:val="tr-TR"/>
        </w:rPr>
        <w:t xml:space="preserve">par. 124). Aşırı derecede kullanılmasından dolayı, 229. Madde (Cumhurbaşkanına Hakaret) tamamen kaldırılmalıdır </w:t>
      </w:r>
      <w:proofErr w:type="gramStart"/>
      <w:r w:rsidRPr="00DE7441">
        <w:rPr>
          <w:rFonts w:ascii="Calibri" w:hAnsi="Calibri" w:cs="Arial"/>
          <w:sz w:val="22"/>
          <w:szCs w:val="22"/>
          <w:lang w:val="tr-TR"/>
        </w:rPr>
        <w:t>(</w:t>
      </w:r>
      <w:proofErr w:type="gramEnd"/>
      <w:r w:rsidRPr="00DE7441">
        <w:rPr>
          <w:rFonts w:ascii="Calibri" w:hAnsi="Calibri" w:cs="Arial"/>
          <w:sz w:val="22"/>
          <w:szCs w:val="22"/>
          <w:lang w:val="tr-TR"/>
        </w:rPr>
        <w:t xml:space="preserve">par. 126). 301, madde, </w:t>
      </w:r>
      <w:r w:rsidR="00600B7A" w:rsidRPr="00DE7441">
        <w:rPr>
          <w:rFonts w:ascii="Calibri" w:hAnsi="Calibri" w:cs="Arial"/>
          <w:sz w:val="22"/>
          <w:szCs w:val="22"/>
          <w:lang w:val="tr-TR"/>
        </w:rPr>
        <w:t xml:space="preserve">Türk Milletini, Türkiye Cumhuriyeti Devletini, Devletin </w:t>
      </w:r>
      <w:r w:rsidR="00DE7441" w:rsidRPr="00DE7441">
        <w:rPr>
          <w:rFonts w:ascii="Calibri" w:hAnsi="Calibri" w:cs="Arial"/>
          <w:sz w:val="22"/>
          <w:szCs w:val="22"/>
          <w:lang w:val="tr-TR"/>
        </w:rPr>
        <w:t>Kurum</w:t>
      </w:r>
      <w:r w:rsidR="00600B7A" w:rsidRPr="00DE7441">
        <w:rPr>
          <w:rFonts w:ascii="Calibri" w:hAnsi="Calibri" w:cs="Arial"/>
          <w:sz w:val="22"/>
          <w:szCs w:val="22"/>
          <w:lang w:val="tr-TR"/>
        </w:rPr>
        <w:t xml:space="preserve"> ve Organlarını Aşağılama</w:t>
      </w:r>
      <w:proofErr w:type="gramStart"/>
      <w:r w:rsidR="00600B7A" w:rsidRPr="00DE7441">
        <w:rPr>
          <w:rFonts w:ascii="Calibri" w:hAnsi="Calibri" w:cs="Arial"/>
          <w:sz w:val="22"/>
          <w:szCs w:val="22"/>
          <w:lang w:val="tr-TR"/>
        </w:rPr>
        <w:t>)</w:t>
      </w:r>
      <w:proofErr w:type="gramEnd"/>
      <w:r w:rsidR="00600B7A" w:rsidRPr="00DE7441">
        <w:rPr>
          <w:rFonts w:ascii="Calibri" w:hAnsi="Calibri" w:cs="Arial"/>
          <w:sz w:val="22"/>
          <w:szCs w:val="22"/>
          <w:lang w:val="tr-TR"/>
        </w:rPr>
        <w:t xml:space="preserve"> muğlak ifadelerin doğurduğu sorunları ortadan kaldırmak için değiştirilmelidir (par. 127). </w:t>
      </w:r>
      <w:r w:rsidRPr="00DE7441">
        <w:rPr>
          <w:rFonts w:ascii="Calibri" w:hAnsi="Calibri" w:cs="Arial"/>
          <w:sz w:val="22"/>
          <w:szCs w:val="22"/>
          <w:lang w:val="tr-TR"/>
        </w:rPr>
        <w:t>314</w:t>
      </w:r>
      <w:r w:rsidR="00600B7A" w:rsidRPr="00DE7441">
        <w:rPr>
          <w:rFonts w:ascii="Calibri" w:hAnsi="Calibri" w:cs="Arial"/>
          <w:sz w:val="22"/>
          <w:szCs w:val="22"/>
          <w:lang w:val="tr-TR"/>
        </w:rPr>
        <w:t xml:space="preserve">. Madde dar yorumlanmalıdır ve 220. Maddede (Suç İşlemek Amacıyla Örgüt Kurmak) </w:t>
      </w:r>
      <w:r w:rsidR="00600B7A" w:rsidRPr="00DE7441">
        <w:rPr>
          <w:rFonts w:ascii="Calibri" w:hAnsi="Calibri" w:cs="Arial"/>
          <w:i/>
          <w:iCs/>
          <w:sz w:val="22"/>
          <w:szCs w:val="22"/>
          <w:lang w:val="tr-TR"/>
        </w:rPr>
        <w:t>“</w:t>
      </w:r>
      <w:r w:rsidR="00600B7A" w:rsidRPr="00DE7441">
        <w:rPr>
          <w:rFonts w:ascii="Calibri" w:hAnsi="Calibri" w:cs="Arial"/>
          <w:sz w:val="22"/>
          <w:szCs w:val="22"/>
          <w:lang w:val="tr-TR"/>
        </w:rPr>
        <w:t>Örgüte üye olmamakla birlikte örgüt adına suç işleyen kişi, ayrıca örgüte üye olmak suçundan da cezalandırılır</w:t>
      </w:r>
      <w:r w:rsidR="00600B7A" w:rsidRPr="00DE7441">
        <w:rPr>
          <w:rFonts w:ascii="Calibri" w:hAnsi="Calibri" w:cs="Arial"/>
          <w:i/>
          <w:iCs/>
          <w:sz w:val="22"/>
          <w:szCs w:val="22"/>
          <w:lang w:val="tr-TR"/>
        </w:rPr>
        <w:t>”</w:t>
      </w:r>
      <w:r w:rsidR="00600B7A" w:rsidRPr="00DE7441">
        <w:rPr>
          <w:rFonts w:ascii="Calibri" w:hAnsi="Calibri" w:cs="Arial"/>
          <w:sz w:val="22"/>
          <w:szCs w:val="22"/>
          <w:lang w:val="tr-TR"/>
        </w:rPr>
        <w:t xml:space="preserve"> hükmü kaldırılmalıdır. Görüş’te ayrıca, bu hükümleri uygulayan mahkemelerin uygulamalarının bu sorunları yeterince hafifletmediği sonucuna varılmıştır. </w:t>
      </w:r>
    </w:p>
    <w:p w:rsidR="00D74634" w:rsidRPr="00DE7441" w:rsidRDefault="00555A02" w:rsidP="00555A02">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54. </w:t>
      </w:r>
      <w:r w:rsidR="00F207AE" w:rsidRPr="00DE7441">
        <w:rPr>
          <w:rFonts w:ascii="Calibri" w:hAnsi="Calibri" w:cs="Arial"/>
          <w:sz w:val="22"/>
          <w:szCs w:val="22"/>
          <w:lang w:val="tr-TR"/>
        </w:rPr>
        <w:t xml:space="preserve">İfade özgürlüğü ile ilgili bu türden sınırlamalar söz konusu hükümler kapsamında yargılanan herkes açısından sorunlu olmakla birlikte, ceza yargılamasına maruz kalmaktan korkmadan Meclis dışında siyasi görüşlerini ifade edemeyen milletvekilleri üzerinde </w:t>
      </w:r>
      <w:r w:rsidR="008A1107" w:rsidRPr="00DE7441">
        <w:rPr>
          <w:rFonts w:ascii="Calibri" w:hAnsi="Calibri" w:cs="Arial"/>
          <w:sz w:val="22"/>
          <w:szCs w:val="22"/>
          <w:lang w:val="tr-TR"/>
        </w:rPr>
        <w:t>özellikle olumsuz etkisi vardır</w:t>
      </w:r>
      <w:r w:rsidRPr="00DE7441">
        <w:rPr>
          <w:rFonts w:ascii="Calibri" w:hAnsi="Calibri" w:cs="Arial"/>
          <w:sz w:val="22"/>
          <w:szCs w:val="22"/>
          <w:lang w:val="tr-TR"/>
        </w:rPr>
        <w:t xml:space="preserve">. </w:t>
      </w:r>
      <w:r w:rsidR="008A1107" w:rsidRPr="00DE7441">
        <w:rPr>
          <w:rFonts w:ascii="Calibri" w:hAnsi="Calibri" w:cs="Arial"/>
          <w:sz w:val="22"/>
          <w:szCs w:val="22"/>
          <w:lang w:val="tr-TR"/>
        </w:rPr>
        <w:t xml:space="preserve">139 Milletvekilinin dokunulmazlığının kaldırılmasıyla 12 Nisan 2016 tarihli değişiklik, milletvekillerini Meclis üyesi olarak faaliyetleriyle ilişkili söylemlerinden dolayı aşırı ceza alma </w:t>
      </w:r>
      <w:r w:rsidR="008A1107" w:rsidRPr="00DE7441">
        <w:rPr>
          <w:rFonts w:ascii="Calibri" w:hAnsi="Calibri" w:cs="Arial"/>
          <w:sz w:val="22"/>
          <w:szCs w:val="22"/>
          <w:lang w:val="tr-TR"/>
        </w:rPr>
        <w:lastRenderedPageBreak/>
        <w:t xml:space="preserve">riskine maruz bırakmaktadır. </w:t>
      </w:r>
    </w:p>
    <w:p w:rsidR="00905274" w:rsidRDefault="00905274" w:rsidP="002130BE">
      <w:pPr>
        <w:pStyle w:val="Balk2"/>
        <w:rPr>
          <w:lang w:val="tr-TR"/>
        </w:rPr>
      </w:pPr>
      <w:bookmarkStart w:id="11" w:name="_Toc341526733"/>
      <w:r w:rsidRPr="00DE7441">
        <w:rPr>
          <w:lang w:val="tr-TR"/>
        </w:rPr>
        <w:t>B. Yargının işleyişi</w:t>
      </w:r>
      <w:bookmarkEnd w:id="11"/>
    </w:p>
    <w:p w:rsidR="004F7908" w:rsidRPr="00B867ED" w:rsidRDefault="004F7908" w:rsidP="004F7908">
      <w:pPr>
        <w:rPr>
          <w:lang w:val="tr-TR"/>
        </w:rPr>
      </w:pPr>
    </w:p>
    <w:p w:rsidR="00905274" w:rsidRPr="00DE7441" w:rsidRDefault="00905274" w:rsidP="00905274">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55. Bir ülkede yasama dokunulmazlığını ihtiyaç duyulup duyulmadığı en nihayetinde savcılık </w:t>
      </w:r>
      <w:proofErr w:type="gramStart"/>
      <w:r w:rsidRPr="00DE7441">
        <w:rPr>
          <w:rFonts w:ascii="Calibri" w:hAnsi="Calibri" w:cs="Arial"/>
          <w:sz w:val="22"/>
          <w:szCs w:val="22"/>
          <w:lang w:val="tr-TR"/>
        </w:rPr>
        <w:t>dahil</w:t>
      </w:r>
      <w:proofErr w:type="gramEnd"/>
      <w:r w:rsidRPr="00DE7441">
        <w:rPr>
          <w:rFonts w:ascii="Calibri" w:hAnsi="Calibri" w:cs="Arial"/>
          <w:sz w:val="22"/>
          <w:szCs w:val="22"/>
          <w:lang w:val="tr-TR"/>
        </w:rPr>
        <w:t xml:space="preserve"> yargı sisteminin bağımsızlığına ve tarafsızlığına bağlıdır. Ancak, Türkiye yargısının mevcut işleyişiyle ilgili ciddi kuşkular bulunmaktadır. </w:t>
      </w:r>
    </w:p>
    <w:p w:rsidR="00905274" w:rsidRPr="00DE7441" w:rsidRDefault="00905274" w:rsidP="00905274">
      <w:pPr>
        <w:widowControl w:val="0"/>
        <w:autoSpaceDE w:val="0"/>
        <w:autoSpaceDN w:val="0"/>
        <w:adjustRightInd w:val="0"/>
        <w:spacing w:after="240"/>
        <w:rPr>
          <w:rFonts w:ascii="Calibri" w:hAnsi="Calibri" w:cs="Arial"/>
          <w:sz w:val="22"/>
          <w:szCs w:val="22"/>
          <w:lang w:val="tr-TR"/>
        </w:rPr>
      </w:pPr>
      <w:r w:rsidRPr="00DE7441">
        <w:rPr>
          <w:rFonts w:ascii="Calibri" w:hAnsi="Calibri" w:cs="Arial"/>
          <w:sz w:val="22"/>
          <w:szCs w:val="22"/>
          <w:lang w:val="tr-TR"/>
        </w:rPr>
        <w:t xml:space="preserve">56. </w:t>
      </w:r>
      <w:r w:rsidRPr="00DE7441">
        <w:rPr>
          <w:rFonts w:ascii="Calibri" w:hAnsi="Calibri" w:cs="Arial"/>
          <w:i/>
          <w:iCs/>
          <w:sz w:val="22"/>
          <w:szCs w:val="22"/>
          <w:lang w:val="tr-TR"/>
        </w:rPr>
        <w:t>“</w:t>
      </w:r>
      <w:r w:rsidR="003B526E" w:rsidRPr="00DE7441">
        <w:rPr>
          <w:rFonts w:ascii="Calibri" w:hAnsi="Calibri" w:cs="Arial"/>
          <w:i/>
          <w:iCs/>
          <w:sz w:val="22"/>
          <w:szCs w:val="22"/>
          <w:lang w:val="tr-TR"/>
        </w:rPr>
        <w:t xml:space="preserve">Türkiye’de demokratik kurumların </w:t>
      </w:r>
      <w:proofErr w:type="spellStart"/>
      <w:r w:rsidR="003B526E" w:rsidRPr="00DE7441">
        <w:rPr>
          <w:rFonts w:ascii="Calibri" w:hAnsi="Calibri" w:cs="Arial"/>
          <w:i/>
          <w:iCs/>
          <w:sz w:val="22"/>
          <w:szCs w:val="22"/>
          <w:lang w:val="tr-TR"/>
        </w:rPr>
        <w:t>işleyişi</w:t>
      </w:r>
      <w:r w:rsidRPr="00DE7441">
        <w:rPr>
          <w:rFonts w:ascii="Calibri" w:hAnsi="Calibri" w:cs="Arial"/>
          <w:i/>
          <w:iCs/>
          <w:sz w:val="22"/>
          <w:szCs w:val="22"/>
          <w:lang w:val="tr-TR"/>
        </w:rPr>
        <w:t>”</w:t>
      </w:r>
      <w:r w:rsidR="003B526E" w:rsidRPr="00DE7441">
        <w:rPr>
          <w:rFonts w:ascii="Calibri" w:hAnsi="Calibri" w:cs="Arial"/>
          <w:iCs/>
          <w:sz w:val="22"/>
          <w:szCs w:val="22"/>
          <w:lang w:val="tr-TR"/>
        </w:rPr>
        <w:t>başlıklı</w:t>
      </w:r>
      <w:proofErr w:type="spellEnd"/>
      <w:r w:rsidR="003B526E" w:rsidRPr="00DE7441">
        <w:rPr>
          <w:rFonts w:ascii="Calibri" w:hAnsi="Calibri" w:cs="Arial"/>
          <w:iCs/>
          <w:sz w:val="22"/>
          <w:szCs w:val="22"/>
          <w:lang w:val="tr-TR"/>
        </w:rPr>
        <w:t xml:space="preserve"> 2121 Sayılı Kararında (2016)</w:t>
      </w:r>
      <w:r w:rsidRPr="00DE7441">
        <w:rPr>
          <w:rFonts w:ascii="Calibri" w:hAnsi="Calibri" w:cs="Arial"/>
          <w:i/>
          <w:iCs/>
          <w:sz w:val="22"/>
          <w:szCs w:val="22"/>
          <w:lang w:val="tr-TR"/>
        </w:rPr>
        <w:t>,</w:t>
      </w:r>
      <w:r w:rsidR="003B526E" w:rsidRPr="00DE7441">
        <w:rPr>
          <w:rFonts w:ascii="Calibri" w:hAnsi="Calibri" w:cs="Arial"/>
          <w:iCs/>
          <w:sz w:val="22"/>
          <w:szCs w:val="22"/>
          <w:lang w:val="tr-TR"/>
        </w:rPr>
        <w:t xml:space="preserve"> Avrupa Konseyi </w:t>
      </w:r>
      <w:r w:rsidR="00DE7441" w:rsidRPr="00DE7441">
        <w:rPr>
          <w:rFonts w:ascii="Calibri" w:hAnsi="Calibri" w:cs="Arial"/>
          <w:iCs/>
          <w:sz w:val="22"/>
          <w:szCs w:val="22"/>
          <w:lang w:val="tr-TR"/>
        </w:rPr>
        <w:t>Parlamenterler</w:t>
      </w:r>
      <w:r w:rsidR="003B526E" w:rsidRPr="00DE7441">
        <w:rPr>
          <w:rFonts w:ascii="Calibri" w:hAnsi="Calibri" w:cs="Arial"/>
          <w:iCs/>
          <w:sz w:val="22"/>
          <w:szCs w:val="22"/>
          <w:lang w:val="tr-TR"/>
        </w:rPr>
        <w:t xml:space="preserve"> Meclisi şöyle demiştir: </w:t>
      </w:r>
      <w:r w:rsidRPr="00DE7441">
        <w:rPr>
          <w:rFonts w:ascii="Calibri" w:hAnsi="Calibri" w:cs="Arial"/>
          <w:i/>
          <w:iCs/>
          <w:sz w:val="22"/>
          <w:szCs w:val="22"/>
          <w:lang w:val="tr-TR"/>
        </w:rPr>
        <w:t>“</w:t>
      </w:r>
      <w:r w:rsidR="003B526E" w:rsidRPr="00DE7441">
        <w:rPr>
          <w:rFonts w:ascii="Calibri" w:hAnsi="Calibri" w:cs="Arial"/>
          <w:i/>
          <w:iCs/>
          <w:sz w:val="22"/>
          <w:szCs w:val="22"/>
          <w:lang w:val="tr-TR"/>
        </w:rPr>
        <w:t xml:space="preserve">Yargı bağımsızlığı Anayasa’da güvence altına alınmıştır. 2010 yılındaki anayasa </w:t>
      </w:r>
      <w:r w:rsidR="00DE7441" w:rsidRPr="00DE7441">
        <w:rPr>
          <w:rFonts w:ascii="Calibri" w:hAnsi="Calibri" w:cs="Arial"/>
          <w:i/>
          <w:iCs/>
          <w:sz w:val="22"/>
          <w:szCs w:val="22"/>
          <w:lang w:val="tr-TR"/>
        </w:rPr>
        <w:t>referandumundan</w:t>
      </w:r>
      <w:r w:rsidR="003B526E" w:rsidRPr="00DE7441">
        <w:rPr>
          <w:rFonts w:ascii="Calibri" w:hAnsi="Calibri" w:cs="Arial"/>
          <w:i/>
          <w:iCs/>
          <w:sz w:val="22"/>
          <w:szCs w:val="22"/>
          <w:lang w:val="tr-TR"/>
        </w:rPr>
        <w:t xml:space="preserve"> bu yana çok sayıda yargı paketi kabul edilmiştir. Bu paketler, seçilmiş </w:t>
      </w:r>
      <w:proofErr w:type="gramStart"/>
      <w:r w:rsidR="003B526E" w:rsidRPr="00DE7441">
        <w:rPr>
          <w:rFonts w:ascii="Calibri" w:hAnsi="Calibri" w:cs="Arial"/>
          <w:i/>
          <w:iCs/>
          <w:sz w:val="22"/>
          <w:szCs w:val="22"/>
          <w:lang w:val="tr-TR"/>
        </w:rPr>
        <w:t>hakimlerin</w:t>
      </w:r>
      <w:proofErr w:type="gramEnd"/>
      <w:r w:rsidR="003B526E" w:rsidRPr="00DE7441">
        <w:rPr>
          <w:rFonts w:ascii="Calibri" w:hAnsi="Calibri" w:cs="Arial"/>
          <w:i/>
          <w:iCs/>
          <w:sz w:val="22"/>
          <w:szCs w:val="22"/>
          <w:lang w:val="tr-TR"/>
        </w:rPr>
        <w:t xml:space="preserve"> Hakimler Savcılar Yüksek Kurulu’nda daha güçlü bir şekilde yer almalarına imkan tanımıştır ki bunlar olumlu gel</w:t>
      </w:r>
      <w:r w:rsidR="00880D73" w:rsidRPr="00DE7441">
        <w:rPr>
          <w:rFonts w:ascii="Calibri" w:hAnsi="Calibri" w:cs="Arial"/>
          <w:i/>
          <w:iCs/>
          <w:sz w:val="22"/>
          <w:szCs w:val="22"/>
          <w:lang w:val="tr-TR"/>
        </w:rPr>
        <w:t>işmelerdir. Ancak, yakın zamanda meydana gelen olaylar ve 2014 yılında</w:t>
      </w:r>
      <w:r w:rsidR="003B526E" w:rsidRPr="00DE7441">
        <w:rPr>
          <w:rFonts w:ascii="Calibri" w:hAnsi="Calibri" w:cs="Arial"/>
          <w:i/>
          <w:iCs/>
          <w:sz w:val="22"/>
          <w:szCs w:val="22"/>
          <w:lang w:val="tr-TR"/>
        </w:rPr>
        <w:t xml:space="preserve"> HSYK kanununda yapılan değişiklikler </w:t>
      </w:r>
      <w:r w:rsidR="00880D73" w:rsidRPr="00DE7441">
        <w:rPr>
          <w:rFonts w:ascii="Calibri" w:hAnsi="Calibri" w:cs="Arial"/>
          <w:i/>
          <w:iCs/>
          <w:sz w:val="22"/>
          <w:szCs w:val="22"/>
          <w:lang w:val="tr-TR"/>
        </w:rPr>
        <w:t>yargının bağımsız olmaması ve yürütmenin yersiz müdahalesi sorununu gündeme getirmiştir</w:t>
      </w:r>
      <w:r w:rsidRPr="00DE7441">
        <w:rPr>
          <w:rFonts w:ascii="Calibri" w:hAnsi="Calibri" w:cs="Arial"/>
          <w:i/>
          <w:iCs/>
          <w:sz w:val="22"/>
          <w:szCs w:val="22"/>
          <w:lang w:val="tr-TR"/>
        </w:rPr>
        <w:t>”</w:t>
      </w:r>
      <w:r w:rsidR="00880D73" w:rsidRPr="00DE7441">
        <w:rPr>
          <w:rFonts w:ascii="Calibri" w:hAnsi="Calibri" w:cs="Arial"/>
          <w:sz w:val="22"/>
          <w:szCs w:val="22"/>
          <w:lang w:val="tr-TR"/>
        </w:rPr>
        <w:t>.</w:t>
      </w:r>
      <w:r w:rsidR="00880D73" w:rsidRPr="00DE7441">
        <w:rPr>
          <w:rStyle w:val="DipnotBavurusu"/>
          <w:rFonts w:ascii="Calibri" w:hAnsi="Calibri" w:cs="Arial"/>
          <w:sz w:val="22"/>
          <w:szCs w:val="22"/>
          <w:lang w:val="tr-TR"/>
        </w:rPr>
        <w:footnoteReference w:id="19"/>
      </w:r>
    </w:p>
    <w:p w:rsidR="00B63A17" w:rsidRPr="00DE7441" w:rsidRDefault="00905274" w:rsidP="00905274">
      <w:pPr>
        <w:widowControl w:val="0"/>
        <w:autoSpaceDE w:val="0"/>
        <w:autoSpaceDN w:val="0"/>
        <w:adjustRightInd w:val="0"/>
        <w:spacing w:after="240"/>
        <w:rPr>
          <w:rFonts w:ascii="Calibri" w:hAnsi="Calibri" w:cs="Arial"/>
          <w:i/>
          <w:iCs/>
          <w:sz w:val="22"/>
          <w:szCs w:val="22"/>
          <w:lang w:val="tr-TR"/>
        </w:rPr>
      </w:pPr>
      <w:r w:rsidRPr="00DE7441">
        <w:rPr>
          <w:rFonts w:ascii="Calibri" w:hAnsi="Calibri" w:cs="Arial"/>
          <w:sz w:val="22"/>
          <w:szCs w:val="22"/>
          <w:lang w:val="tr-TR"/>
        </w:rPr>
        <w:t xml:space="preserve">57. </w:t>
      </w:r>
      <w:r w:rsidR="00880D73" w:rsidRPr="00DE7441">
        <w:rPr>
          <w:rFonts w:ascii="Calibri" w:hAnsi="Calibri" w:cs="Arial"/>
          <w:sz w:val="22"/>
          <w:szCs w:val="22"/>
          <w:lang w:val="tr-TR"/>
        </w:rPr>
        <w:t xml:space="preserve">16 Ekim 2015 tarihli Türkiye Değerlendirme Raporunda, Avrupa Konseyi Yolsuzluğa Karşı Devletler Grubu (GRECO) şu sonuca yer vermiştir: </w:t>
      </w:r>
      <w:r w:rsidRPr="00DE7441">
        <w:rPr>
          <w:rFonts w:ascii="Calibri" w:hAnsi="Calibri" w:cs="Arial"/>
          <w:i/>
          <w:iCs/>
          <w:sz w:val="22"/>
          <w:szCs w:val="22"/>
          <w:lang w:val="tr-TR"/>
        </w:rPr>
        <w:t>“</w:t>
      </w:r>
      <w:r w:rsidR="00880D73" w:rsidRPr="00DE7441">
        <w:rPr>
          <w:rFonts w:ascii="Calibri" w:hAnsi="Calibri" w:cs="Arial"/>
          <w:i/>
          <w:iCs/>
          <w:sz w:val="22"/>
          <w:szCs w:val="22"/>
          <w:lang w:val="tr-TR"/>
        </w:rPr>
        <w:t>Türkiye</w:t>
      </w:r>
      <w:r w:rsidR="00225134" w:rsidRPr="00DE7441">
        <w:rPr>
          <w:rFonts w:ascii="Calibri" w:hAnsi="Calibri" w:cs="Arial"/>
          <w:i/>
          <w:iCs/>
          <w:sz w:val="22"/>
          <w:szCs w:val="22"/>
          <w:lang w:val="tr-TR"/>
        </w:rPr>
        <w:t>’de</w:t>
      </w:r>
      <w:r w:rsidR="00880D73" w:rsidRPr="00DE7441">
        <w:rPr>
          <w:rFonts w:ascii="Calibri" w:hAnsi="Calibri" w:cs="Arial"/>
          <w:i/>
          <w:iCs/>
          <w:sz w:val="22"/>
          <w:szCs w:val="22"/>
          <w:lang w:val="tr-TR"/>
        </w:rPr>
        <w:t xml:space="preserve"> yargı, anayasal güvencelere rağmen, ülkenin yürütme erkinden yeterince bağımsız olarak algılanmamaktadır</w:t>
      </w:r>
      <w:r w:rsidRPr="00DE7441">
        <w:rPr>
          <w:rFonts w:ascii="Calibri" w:hAnsi="Calibri" w:cs="Arial"/>
          <w:i/>
          <w:iCs/>
          <w:sz w:val="22"/>
          <w:szCs w:val="22"/>
          <w:lang w:val="tr-TR"/>
        </w:rPr>
        <w:t xml:space="preserve">. </w:t>
      </w:r>
      <w:r w:rsidR="00225134" w:rsidRPr="00DE7441">
        <w:rPr>
          <w:rFonts w:ascii="Calibri" w:hAnsi="Calibri" w:cs="Arial"/>
          <w:i/>
          <w:iCs/>
          <w:sz w:val="22"/>
          <w:szCs w:val="22"/>
          <w:lang w:val="tr-TR"/>
        </w:rPr>
        <w:t xml:space="preserve">Yargı bağımsızlığının güçlendirilmesi, yıllardır Türkiye’deki yargı reformunun ana hedeflerinden biri olmuştur. </w:t>
      </w:r>
      <w:proofErr w:type="gramStart"/>
      <w:r w:rsidR="00225134" w:rsidRPr="00DE7441">
        <w:rPr>
          <w:rFonts w:ascii="Calibri" w:hAnsi="Calibri" w:cs="Arial"/>
          <w:i/>
          <w:iCs/>
          <w:sz w:val="22"/>
          <w:szCs w:val="22"/>
          <w:lang w:val="tr-TR"/>
        </w:rPr>
        <w:t>Hakimler</w:t>
      </w:r>
      <w:proofErr w:type="gramEnd"/>
      <w:r w:rsidR="00225134" w:rsidRPr="00DE7441">
        <w:rPr>
          <w:rFonts w:ascii="Calibri" w:hAnsi="Calibri" w:cs="Arial"/>
          <w:i/>
          <w:iCs/>
          <w:sz w:val="22"/>
          <w:szCs w:val="22"/>
          <w:lang w:val="tr-TR"/>
        </w:rPr>
        <w:t xml:space="preserve"> Savcılar Yüksek Kurulu’nun (HSYK) yargının kendi kendini yöneten bir organı olarak kurulması böyle bir bağımsızlığı sağlamanın unsurlarından biriydi ve hakim ve savcıların bu organda daha güçlü bir şekilde yer almalarını sağlayan 2010 yılındaki anayasa reformu aynı zamanda olumlu bir adımdı. Ancak, Türkiye’de 2014/2015 yıllarında çok sayıda yargı mensubu hakkında disiplin soruşturması başlatılması ve görevden alınmaları üzerine kamuoyundan ve uluslararası kuruluşlardan gelen </w:t>
      </w:r>
      <w:proofErr w:type="gramStart"/>
      <w:r w:rsidR="00225134" w:rsidRPr="00DE7441">
        <w:rPr>
          <w:rFonts w:ascii="Calibri" w:hAnsi="Calibri" w:cs="Arial"/>
          <w:i/>
          <w:iCs/>
          <w:sz w:val="22"/>
          <w:szCs w:val="22"/>
          <w:lang w:val="tr-TR"/>
        </w:rPr>
        <w:t xml:space="preserve">eleştiriler  </w:t>
      </w:r>
      <w:proofErr w:type="spellStart"/>
      <w:r w:rsidR="00225134" w:rsidRPr="00DE7441">
        <w:rPr>
          <w:rFonts w:ascii="Calibri" w:hAnsi="Calibri" w:cs="Arial"/>
          <w:i/>
          <w:iCs/>
          <w:sz w:val="22"/>
          <w:szCs w:val="22"/>
          <w:lang w:val="tr-TR"/>
        </w:rPr>
        <w:t>HSYK’nın</w:t>
      </w:r>
      <w:proofErr w:type="spellEnd"/>
      <w:proofErr w:type="gramEnd"/>
      <w:r w:rsidR="00225134" w:rsidRPr="00DE7441">
        <w:rPr>
          <w:rFonts w:ascii="Calibri" w:hAnsi="Calibri" w:cs="Arial"/>
          <w:i/>
          <w:iCs/>
          <w:sz w:val="22"/>
          <w:szCs w:val="22"/>
          <w:lang w:val="tr-TR"/>
        </w:rPr>
        <w:t xml:space="preserve"> rolü ve bağımsızlığı ile ilgili tartışmaları dah</w:t>
      </w:r>
      <w:r w:rsidR="00DE7441">
        <w:rPr>
          <w:rFonts w:ascii="Calibri" w:hAnsi="Calibri" w:cs="Arial"/>
          <w:i/>
          <w:iCs/>
          <w:sz w:val="22"/>
          <w:szCs w:val="22"/>
          <w:lang w:val="tr-TR"/>
        </w:rPr>
        <w:t>a da fazla tetiklemiştir. Rapor</w:t>
      </w:r>
      <w:r w:rsidR="00225134" w:rsidRPr="00DE7441">
        <w:rPr>
          <w:rFonts w:ascii="Calibri" w:hAnsi="Calibri" w:cs="Arial"/>
          <w:i/>
          <w:iCs/>
          <w:sz w:val="22"/>
          <w:szCs w:val="22"/>
          <w:lang w:val="tr-TR"/>
        </w:rPr>
        <w:t xml:space="preserve">da </w:t>
      </w:r>
      <w:r w:rsidR="00B63A17" w:rsidRPr="00DE7441">
        <w:rPr>
          <w:rFonts w:ascii="Calibri" w:hAnsi="Calibri" w:cs="Arial"/>
          <w:i/>
          <w:iCs/>
          <w:sz w:val="22"/>
          <w:szCs w:val="22"/>
          <w:lang w:val="tr-TR"/>
        </w:rPr>
        <w:t xml:space="preserve">yürütmenin bu organ üzerindeki potansiyel etkisini azaltarak </w:t>
      </w:r>
      <w:proofErr w:type="spellStart"/>
      <w:r w:rsidR="00B63A17" w:rsidRPr="00DE7441">
        <w:rPr>
          <w:rFonts w:ascii="Calibri" w:hAnsi="Calibri" w:cs="Arial"/>
          <w:i/>
          <w:iCs/>
          <w:sz w:val="22"/>
          <w:szCs w:val="22"/>
          <w:lang w:val="tr-TR"/>
        </w:rPr>
        <w:t>HSYK’nın</w:t>
      </w:r>
      <w:proofErr w:type="spellEnd"/>
      <w:r w:rsidR="00B63A17" w:rsidRPr="00DE7441">
        <w:rPr>
          <w:rFonts w:ascii="Calibri" w:hAnsi="Calibri" w:cs="Arial"/>
          <w:i/>
          <w:iCs/>
          <w:sz w:val="22"/>
          <w:szCs w:val="22"/>
          <w:lang w:val="tr-TR"/>
        </w:rPr>
        <w:t xml:space="preserve"> bağımsızlığının artırılmasına hala ihtiyaç duyulduğu kabul edilmektedir.</w:t>
      </w:r>
      <w:r w:rsidR="00902D41" w:rsidRPr="00DE7441">
        <w:rPr>
          <w:rFonts w:ascii="Calibri" w:hAnsi="Calibri" w:cs="Arial"/>
          <w:i/>
          <w:iCs/>
          <w:sz w:val="22"/>
          <w:szCs w:val="22"/>
          <w:lang w:val="tr-TR"/>
        </w:rPr>
        <w:t>’</w:t>
      </w:r>
      <w:r w:rsidR="00902D41" w:rsidRPr="00DE7441">
        <w:rPr>
          <w:rStyle w:val="DipnotBavurusu"/>
          <w:rFonts w:ascii="Calibri" w:hAnsi="Calibri" w:cs="Arial"/>
          <w:i/>
          <w:iCs/>
          <w:sz w:val="22"/>
          <w:szCs w:val="22"/>
          <w:lang w:val="tr-TR"/>
        </w:rPr>
        <w:footnoteReference w:id="20"/>
      </w:r>
    </w:p>
    <w:p w:rsidR="00B132D7" w:rsidRPr="00DE7441" w:rsidRDefault="008D264C" w:rsidP="00B132D7">
      <w:pPr>
        <w:widowControl w:val="0"/>
        <w:autoSpaceDE w:val="0"/>
        <w:autoSpaceDN w:val="0"/>
        <w:adjustRightInd w:val="0"/>
        <w:spacing w:after="240"/>
        <w:rPr>
          <w:rFonts w:ascii="Calibri" w:hAnsi="Calibri" w:cs="Times"/>
          <w:sz w:val="22"/>
          <w:szCs w:val="22"/>
          <w:lang w:val="tr-TR"/>
        </w:rPr>
      </w:pPr>
      <w:r w:rsidRPr="00DE7441">
        <w:rPr>
          <w:rFonts w:ascii="Calibri" w:hAnsi="Calibri" w:cs="Times"/>
          <w:sz w:val="22"/>
          <w:szCs w:val="22"/>
          <w:lang w:val="tr-TR"/>
        </w:rPr>
        <w:t>58. Avrupa Konseyi İnsan Hakları Komiseri Mart 2016’da yaptığı Türkiye ziyareti sonrasında aynı sonuca varmıştır</w:t>
      </w:r>
      <w:r w:rsidR="00591CC2" w:rsidRPr="00DE7441">
        <w:rPr>
          <w:rFonts w:ascii="Calibri" w:hAnsi="Calibri" w:cs="Times"/>
          <w:i/>
          <w:iCs/>
          <w:sz w:val="22"/>
          <w:szCs w:val="22"/>
          <w:lang w:val="tr-TR"/>
        </w:rPr>
        <w:t xml:space="preserve">: </w:t>
      </w:r>
      <w:r w:rsidRPr="00DE7441">
        <w:rPr>
          <w:rFonts w:ascii="Calibri" w:hAnsi="Calibri" w:cs="Times"/>
          <w:i/>
          <w:iCs/>
          <w:sz w:val="22"/>
          <w:szCs w:val="22"/>
          <w:lang w:val="tr-TR"/>
        </w:rPr>
        <w:t>“</w:t>
      </w:r>
      <w:r w:rsidR="00591CC2" w:rsidRPr="00DE7441">
        <w:rPr>
          <w:rFonts w:ascii="Calibri" w:hAnsi="Calibri" w:cs="Times"/>
          <w:i/>
          <w:iCs/>
          <w:sz w:val="22"/>
          <w:szCs w:val="22"/>
          <w:lang w:val="tr-TR"/>
        </w:rPr>
        <w:t xml:space="preserve">yürütmenin ve yargının meşru eleştiriler karşısındaki hoşgörüsüzlüğü somut bir dondurucu etkiye ve </w:t>
      </w:r>
      <w:proofErr w:type="spellStart"/>
      <w:r w:rsidR="00591CC2" w:rsidRPr="00DE7441">
        <w:rPr>
          <w:rFonts w:ascii="Calibri" w:hAnsi="Calibri" w:cs="Times"/>
          <w:i/>
          <w:iCs/>
          <w:sz w:val="22"/>
          <w:szCs w:val="22"/>
          <w:lang w:val="tr-TR"/>
        </w:rPr>
        <w:t>otosansüre</w:t>
      </w:r>
      <w:proofErr w:type="spellEnd"/>
      <w:r w:rsidR="00591CC2" w:rsidRPr="00DE7441">
        <w:rPr>
          <w:rFonts w:ascii="Calibri" w:hAnsi="Calibri" w:cs="Times"/>
          <w:i/>
          <w:iCs/>
          <w:sz w:val="22"/>
          <w:szCs w:val="22"/>
          <w:lang w:val="tr-TR"/>
        </w:rPr>
        <w:t xml:space="preserve"> yol açmış, ülkedeki demokratik tartışmaların kapsamını daraltmıştır. </w:t>
      </w:r>
      <w:r w:rsidRPr="00DE7441">
        <w:rPr>
          <w:rFonts w:ascii="Calibri" w:hAnsi="Calibri" w:cs="Times"/>
          <w:i/>
          <w:iCs/>
          <w:sz w:val="22"/>
          <w:szCs w:val="22"/>
          <w:lang w:val="tr-TR"/>
        </w:rPr>
        <w:t xml:space="preserve">” </w:t>
      </w:r>
      <w:r w:rsidR="00591CC2" w:rsidRPr="00DE7441">
        <w:rPr>
          <w:rFonts w:ascii="Calibri" w:hAnsi="Calibri" w:cs="Times"/>
          <w:iCs/>
          <w:sz w:val="22"/>
          <w:szCs w:val="22"/>
          <w:lang w:val="tr-TR"/>
        </w:rPr>
        <w:t xml:space="preserve">Komiser ayrıca, </w:t>
      </w:r>
      <w:r w:rsidRPr="00DE7441">
        <w:rPr>
          <w:rFonts w:ascii="Calibri" w:hAnsi="Calibri" w:cs="Times"/>
          <w:i/>
          <w:iCs/>
          <w:sz w:val="22"/>
          <w:szCs w:val="22"/>
          <w:lang w:val="tr-TR"/>
        </w:rPr>
        <w:t>“</w:t>
      </w:r>
      <w:r w:rsidR="00591CC2" w:rsidRPr="00DE7441">
        <w:rPr>
          <w:rFonts w:ascii="Calibri" w:hAnsi="Calibri" w:cs="Times"/>
          <w:i/>
          <w:iCs/>
          <w:sz w:val="22"/>
          <w:szCs w:val="22"/>
          <w:lang w:val="tr-TR"/>
        </w:rPr>
        <w:t xml:space="preserve">Avrupa Konseyi’nin diğer organlarının, Venedik Komisyonu’nun ve Yolsuzluğa Karşı Ülkeler Grubunun (GRECO) yargıda </w:t>
      </w:r>
      <w:proofErr w:type="spellStart"/>
      <w:r w:rsidR="00F944F6" w:rsidRPr="00DE7441">
        <w:rPr>
          <w:rFonts w:ascii="Calibri" w:hAnsi="Calibri" w:cs="Times"/>
          <w:i/>
          <w:iCs/>
          <w:sz w:val="22"/>
          <w:szCs w:val="22"/>
          <w:lang w:val="tr-TR"/>
        </w:rPr>
        <w:t>örgütlendiği</w:t>
      </w:r>
      <w:r w:rsidR="00DE7441" w:rsidRPr="00DE7441">
        <w:rPr>
          <w:rFonts w:ascii="Calibri" w:hAnsi="Calibri" w:cs="Times"/>
          <w:i/>
          <w:iCs/>
          <w:sz w:val="22"/>
          <w:szCs w:val="22"/>
          <w:lang w:val="tr-TR"/>
        </w:rPr>
        <w:t>farz</w:t>
      </w:r>
      <w:proofErr w:type="spellEnd"/>
      <w:r w:rsidR="00DE7441" w:rsidRPr="00DE7441">
        <w:rPr>
          <w:rFonts w:ascii="Calibri" w:hAnsi="Calibri" w:cs="Times"/>
          <w:i/>
          <w:iCs/>
          <w:sz w:val="22"/>
          <w:szCs w:val="22"/>
          <w:lang w:val="tr-TR"/>
        </w:rPr>
        <w:t xml:space="preserve"> edilen</w:t>
      </w:r>
      <w:r w:rsidR="00591CC2" w:rsidRPr="00DE7441">
        <w:rPr>
          <w:rFonts w:ascii="Calibri" w:hAnsi="Calibri" w:cs="Times"/>
          <w:i/>
          <w:iCs/>
          <w:sz w:val="22"/>
          <w:szCs w:val="22"/>
          <w:lang w:val="tr-TR"/>
        </w:rPr>
        <w:t xml:space="preserve"> bir terör örgütüyle mücadelenin</w:t>
      </w:r>
      <w:r w:rsidR="00F944F6" w:rsidRPr="00DE7441">
        <w:rPr>
          <w:rFonts w:ascii="Calibri" w:hAnsi="Calibri" w:cs="Times"/>
          <w:i/>
          <w:iCs/>
          <w:sz w:val="22"/>
          <w:szCs w:val="22"/>
          <w:lang w:val="tr-TR"/>
        </w:rPr>
        <w:t xml:space="preserve"> yargı</w:t>
      </w:r>
      <w:r w:rsidR="00591CC2" w:rsidRPr="00DE7441">
        <w:rPr>
          <w:rFonts w:ascii="Calibri" w:hAnsi="Calibri" w:cs="Times"/>
          <w:i/>
          <w:iCs/>
          <w:sz w:val="22"/>
          <w:szCs w:val="22"/>
          <w:lang w:val="tr-TR"/>
        </w:rPr>
        <w:t xml:space="preserve"> bağımsızlığını zayıflatmış olabileceği yolundaki görüşlerini paylaşmaktadır. </w:t>
      </w:r>
      <w:r w:rsidR="00F944F6" w:rsidRPr="00DE7441">
        <w:rPr>
          <w:rFonts w:ascii="Calibri" w:hAnsi="Calibri" w:cs="Times"/>
          <w:i/>
          <w:iCs/>
          <w:sz w:val="22"/>
          <w:szCs w:val="22"/>
          <w:lang w:val="tr-TR"/>
        </w:rPr>
        <w:t>‘</w:t>
      </w:r>
      <w:r w:rsidR="00591CC2" w:rsidRPr="00DE7441">
        <w:rPr>
          <w:rFonts w:ascii="Calibri" w:hAnsi="Calibri" w:cs="Times"/>
          <w:i/>
          <w:iCs/>
          <w:sz w:val="22"/>
          <w:szCs w:val="22"/>
          <w:lang w:val="tr-TR"/>
        </w:rPr>
        <w:t>Türkiye Cumhurbaşkanı’nın Anayasa Mahkemesi’yle ilgili kısa süre önce söylediği sözler ve diğer siyasetçilerin beyanatları da halkın yargının bağımsızlığına olan güvenini zedelemiştir</w:t>
      </w:r>
      <w:r w:rsidRPr="00DE7441">
        <w:rPr>
          <w:rFonts w:ascii="Calibri" w:hAnsi="Calibri" w:cs="Times"/>
          <w:i/>
          <w:iCs/>
          <w:sz w:val="22"/>
          <w:szCs w:val="22"/>
          <w:lang w:val="tr-TR"/>
        </w:rPr>
        <w:t>’”</w:t>
      </w:r>
      <w:r w:rsidR="00F16D1B" w:rsidRPr="00DE7441">
        <w:rPr>
          <w:rStyle w:val="DipnotBavurusu"/>
          <w:rFonts w:ascii="Calibri" w:hAnsi="Calibri" w:cs="Times"/>
          <w:i/>
          <w:iCs/>
          <w:sz w:val="22"/>
          <w:szCs w:val="22"/>
          <w:lang w:val="tr-TR"/>
        </w:rPr>
        <w:footnoteReference w:id="21"/>
      </w:r>
    </w:p>
    <w:p w:rsidR="00F16D1B" w:rsidRPr="00DE7441" w:rsidRDefault="00F16D1B" w:rsidP="00F16D1B">
      <w:pPr>
        <w:widowControl w:val="0"/>
        <w:autoSpaceDE w:val="0"/>
        <w:autoSpaceDN w:val="0"/>
        <w:adjustRightInd w:val="0"/>
        <w:spacing w:after="240"/>
        <w:rPr>
          <w:rFonts w:ascii="Calibri" w:hAnsi="Calibri" w:cs="Times"/>
          <w:sz w:val="22"/>
          <w:szCs w:val="22"/>
          <w:lang w:val="tr-TR"/>
        </w:rPr>
      </w:pPr>
      <w:r w:rsidRPr="00DE7441">
        <w:rPr>
          <w:rFonts w:ascii="Calibri" w:hAnsi="Calibri" w:cs="Times"/>
          <w:sz w:val="22"/>
          <w:szCs w:val="22"/>
          <w:lang w:val="tr-TR"/>
        </w:rPr>
        <w:t xml:space="preserve">59. Değişikliğin kabul </w:t>
      </w:r>
      <w:r w:rsidR="00DE7441" w:rsidRPr="00DE7441">
        <w:rPr>
          <w:rFonts w:ascii="Calibri" w:hAnsi="Calibri" w:cs="Times"/>
          <w:sz w:val="22"/>
          <w:szCs w:val="22"/>
          <w:lang w:val="tr-TR"/>
        </w:rPr>
        <w:t>edildiği</w:t>
      </w:r>
      <w:r w:rsidRPr="00DE7441">
        <w:rPr>
          <w:rFonts w:ascii="Calibri" w:hAnsi="Calibri" w:cs="Times"/>
          <w:sz w:val="22"/>
          <w:szCs w:val="22"/>
          <w:lang w:val="tr-TR"/>
        </w:rPr>
        <w:t xml:space="preserve"> tarihte</w:t>
      </w:r>
      <w:r w:rsidR="0078127C" w:rsidRPr="00DE7441">
        <w:rPr>
          <w:rFonts w:ascii="Calibri" w:hAnsi="Calibri" w:cs="Times"/>
          <w:sz w:val="22"/>
          <w:szCs w:val="22"/>
          <w:lang w:val="tr-TR"/>
        </w:rPr>
        <w:t xml:space="preserve"> bile yargı sisteminin milletvekili dokunulmazlıklarının kaldırılmasına izin verecek derecede istikrarlı olup olmadığı yolunda ciddi şüpheler bulunmaktaydı. Siyasi açıdan son derece önemli bazı davalara ilişkin kararlar büyük çaplı usulsüzlüklerin ortaya çıkmasından sonra Türkiye mahkemeleri tarafından iptal edilmiştir </w:t>
      </w:r>
      <w:r w:rsidR="0078127C" w:rsidRPr="00DE7441">
        <w:rPr>
          <w:rFonts w:ascii="Calibri" w:hAnsi="Calibri" w:cs="Times"/>
          <w:sz w:val="22"/>
          <w:szCs w:val="22"/>
          <w:lang w:val="tr-TR"/>
        </w:rPr>
        <w:lastRenderedPageBreak/>
        <w:t>(Ergenekon</w:t>
      </w:r>
      <w:r w:rsidR="0078127C" w:rsidRPr="00DE7441">
        <w:rPr>
          <w:rStyle w:val="DipnotBavurusu"/>
          <w:rFonts w:ascii="Calibri" w:hAnsi="Calibri" w:cs="Times"/>
          <w:sz w:val="22"/>
          <w:szCs w:val="22"/>
          <w:lang w:val="tr-TR"/>
        </w:rPr>
        <w:footnoteReference w:id="22"/>
      </w:r>
      <w:r w:rsidR="0078127C" w:rsidRPr="00DE7441">
        <w:rPr>
          <w:rFonts w:ascii="Calibri" w:hAnsi="Calibri" w:cs="Times"/>
          <w:sz w:val="22"/>
          <w:szCs w:val="22"/>
          <w:lang w:val="tr-TR"/>
        </w:rPr>
        <w:t xml:space="preserve"> /Balyoz</w:t>
      </w:r>
      <w:r w:rsidR="0078127C" w:rsidRPr="00DE7441">
        <w:rPr>
          <w:rStyle w:val="DipnotBavurusu"/>
          <w:rFonts w:ascii="Calibri" w:hAnsi="Calibri" w:cs="Times"/>
          <w:sz w:val="22"/>
          <w:szCs w:val="22"/>
          <w:lang w:val="tr-TR"/>
        </w:rPr>
        <w:footnoteReference w:id="23"/>
      </w:r>
      <w:r w:rsidR="0078127C" w:rsidRPr="00DE7441">
        <w:rPr>
          <w:rFonts w:ascii="Calibri" w:hAnsi="Calibri" w:cs="Times"/>
          <w:sz w:val="22"/>
          <w:szCs w:val="22"/>
          <w:lang w:val="tr-TR"/>
        </w:rPr>
        <w:t xml:space="preserve"> adıyla bilinen davalar)</w:t>
      </w:r>
      <w:r w:rsidRPr="00DE7441">
        <w:rPr>
          <w:rFonts w:ascii="Calibri" w:hAnsi="Calibri" w:cs="Times"/>
          <w:sz w:val="22"/>
          <w:szCs w:val="22"/>
          <w:lang w:val="tr-TR"/>
        </w:rPr>
        <w:t xml:space="preserve">. </w:t>
      </w:r>
    </w:p>
    <w:p w:rsidR="00B132D7" w:rsidRPr="00DE7441" w:rsidRDefault="00F16D1B" w:rsidP="00F16D1B">
      <w:pPr>
        <w:widowControl w:val="0"/>
        <w:autoSpaceDE w:val="0"/>
        <w:autoSpaceDN w:val="0"/>
        <w:adjustRightInd w:val="0"/>
        <w:spacing w:after="240"/>
        <w:rPr>
          <w:rFonts w:ascii="Calibri" w:hAnsi="Calibri" w:cs="Times"/>
          <w:sz w:val="22"/>
          <w:szCs w:val="22"/>
          <w:lang w:val="tr-TR"/>
        </w:rPr>
      </w:pPr>
      <w:r w:rsidRPr="00DE7441">
        <w:rPr>
          <w:rFonts w:ascii="Calibri" w:hAnsi="Calibri" w:cs="Times"/>
          <w:sz w:val="22"/>
          <w:szCs w:val="22"/>
          <w:lang w:val="tr-TR"/>
        </w:rPr>
        <w:t xml:space="preserve">60. </w:t>
      </w:r>
      <w:r w:rsidR="0078127C" w:rsidRPr="00DE7441">
        <w:rPr>
          <w:rFonts w:ascii="Calibri" w:hAnsi="Calibri" w:cs="Times"/>
          <w:sz w:val="22"/>
          <w:szCs w:val="22"/>
          <w:lang w:val="tr-TR"/>
        </w:rPr>
        <w:t xml:space="preserve">Darbe girişiminden bu yana Türkiye yargısı daha da büyük bir sıkıntı içindedir. En yüksek mahkemelerin </w:t>
      </w:r>
      <w:proofErr w:type="gramStart"/>
      <w:r w:rsidR="0078127C" w:rsidRPr="00DE7441">
        <w:rPr>
          <w:rFonts w:ascii="Calibri" w:hAnsi="Calibri" w:cs="Times"/>
          <w:sz w:val="22"/>
          <w:szCs w:val="22"/>
          <w:lang w:val="tr-TR"/>
        </w:rPr>
        <w:t>hakimleri</w:t>
      </w:r>
      <w:proofErr w:type="gramEnd"/>
      <w:r w:rsidR="0078127C" w:rsidRPr="00DE7441">
        <w:rPr>
          <w:rFonts w:ascii="Calibri" w:hAnsi="Calibri" w:cs="Times"/>
          <w:sz w:val="22"/>
          <w:szCs w:val="22"/>
          <w:lang w:val="tr-TR"/>
        </w:rPr>
        <w:t xml:space="preserve"> dahil olmak üzere, 3000’den fazla hakim ve savcı yargılanmaksızın görevden alınmıştır. Anayasa Mahkemesi bile doğrudan etkilenmiş ve iki üyesinin görevden alınmasına yol açan bir karar almıştır.</w:t>
      </w:r>
      <w:r w:rsidR="0078127C" w:rsidRPr="00DE7441">
        <w:rPr>
          <w:rStyle w:val="DipnotBavurusu"/>
          <w:rFonts w:ascii="Calibri" w:hAnsi="Calibri" w:cs="Times"/>
          <w:sz w:val="22"/>
          <w:szCs w:val="22"/>
          <w:lang w:val="tr-TR"/>
        </w:rPr>
        <w:footnoteReference w:id="24"/>
      </w:r>
      <w:r w:rsidR="0078127C" w:rsidRPr="00DE7441">
        <w:rPr>
          <w:rFonts w:ascii="Calibri" w:hAnsi="Calibri" w:cs="Times"/>
          <w:sz w:val="22"/>
          <w:szCs w:val="22"/>
          <w:lang w:val="tr-TR"/>
        </w:rPr>
        <w:t xml:space="preserve"> Bu </w:t>
      </w:r>
      <w:proofErr w:type="gramStart"/>
      <w:r w:rsidR="0078127C" w:rsidRPr="00DE7441">
        <w:rPr>
          <w:rFonts w:ascii="Calibri" w:hAnsi="Calibri" w:cs="Times"/>
          <w:sz w:val="22"/>
          <w:szCs w:val="22"/>
          <w:lang w:val="tr-TR"/>
        </w:rPr>
        <w:t>hakim</w:t>
      </w:r>
      <w:proofErr w:type="gramEnd"/>
      <w:r w:rsidR="0078127C" w:rsidRPr="00DE7441">
        <w:rPr>
          <w:rFonts w:ascii="Calibri" w:hAnsi="Calibri" w:cs="Times"/>
          <w:sz w:val="22"/>
          <w:szCs w:val="22"/>
          <w:lang w:val="tr-TR"/>
        </w:rPr>
        <w:t xml:space="preserve"> ve savcıların büyük kısmı şu anda tutukludur.  </w:t>
      </w:r>
    </w:p>
    <w:p w:rsidR="00603813" w:rsidRPr="00DE7441" w:rsidRDefault="0078127C" w:rsidP="003A7808">
      <w:pPr>
        <w:widowControl w:val="0"/>
        <w:autoSpaceDE w:val="0"/>
        <w:autoSpaceDN w:val="0"/>
        <w:adjustRightInd w:val="0"/>
        <w:spacing w:after="240"/>
        <w:rPr>
          <w:rFonts w:ascii="Calibri" w:hAnsi="Calibri" w:cs="Times"/>
          <w:sz w:val="22"/>
          <w:szCs w:val="22"/>
          <w:lang w:val="tr-TR"/>
        </w:rPr>
      </w:pPr>
      <w:r w:rsidRPr="00DE7441">
        <w:rPr>
          <w:rFonts w:ascii="Calibri" w:hAnsi="Calibri" w:cs="Times"/>
          <w:sz w:val="22"/>
          <w:szCs w:val="22"/>
          <w:lang w:val="tr-TR"/>
        </w:rPr>
        <w:t xml:space="preserve">61. Son olarak, Venedik Komisyonu heyetine 139 milletvekili ile ilgili dosyaların önemli bir kısmının 15 Temmuz 2016 tarihindeki darbe </w:t>
      </w:r>
      <w:r w:rsidR="00DE7441" w:rsidRPr="00DE7441">
        <w:rPr>
          <w:rFonts w:ascii="Calibri" w:hAnsi="Calibri" w:cs="Times"/>
          <w:sz w:val="22"/>
          <w:szCs w:val="22"/>
          <w:lang w:val="tr-TR"/>
        </w:rPr>
        <w:t>girişiminden</w:t>
      </w:r>
      <w:r w:rsidRPr="00DE7441">
        <w:rPr>
          <w:rFonts w:ascii="Calibri" w:hAnsi="Calibri" w:cs="Times"/>
          <w:sz w:val="22"/>
          <w:szCs w:val="22"/>
          <w:lang w:val="tr-TR"/>
        </w:rPr>
        <w:t xml:space="preserve"> sonra hapsedilen ve/veya görevden alınan savcılar tarafından hazırlandığı bildirilmiştir. Venedik Komisyonu bu bilgiyi teyit edememiştir. Bu bilgi doğru ise, söz konusu savcılar tarafından soruşturulan dosyalar kapatılmalı ve yeni soruşturma başlatılmalıdır. Yeni savcılar da </w:t>
      </w:r>
      <w:r w:rsidR="00FB332C" w:rsidRPr="00DE7441">
        <w:rPr>
          <w:rFonts w:ascii="Calibri" w:hAnsi="Calibri" w:cs="Times"/>
          <w:sz w:val="22"/>
          <w:szCs w:val="22"/>
          <w:lang w:val="tr-TR"/>
        </w:rPr>
        <w:t xml:space="preserve">ceza yargılaması yapılması gerektiği yolunda aynı </w:t>
      </w:r>
      <w:r w:rsidRPr="00DE7441">
        <w:rPr>
          <w:rFonts w:ascii="Calibri" w:hAnsi="Calibri" w:cs="Times"/>
          <w:sz w:val="22"/>
          <w:szCs w:val="22"/>
          <w:lang w:val="tr-TR"/>
        </w:rPr>
        <w:t xml:space="preserve">sonuca varırsa </w:t>
      </w:r>
      <w:r w:rsidR="00FB332C" w:rsidRPr="00DE7441">
        <w:rPr>
          <w:rFonts w:ascii="Calibri" w:hAnsi="Calibri" w:cs="Times"/>
          <w:sz w:val="22"/>
          <w:szCs w:val="22"/>
          <w:lang w:val="tr-TR"/>
        </w:rPr>
        <w:t>ilgili milletvekillerinin dokunulmazlıkları Anayasa’nın 83. Maddesine göre kaldırılmalıdır</w:t>
      </w:r>
      <w:r w:rsidRPr="00DE7441">
        <w:rPr>
          <w:rFonts w:ascii="Calibri" w:hAnsi="Calibri" w:cs="Times"/>
          <w:sz w:val="22"/>
          <w:szCs w:val="22"/>
          <w:lang w:val="tr-TR"/>
        </w:rPr>
        <w:t>.</w:t>
      </w:r>
    </w:p>
    <w:p w:rsidR="00603813" w:rsidRPr="00DE7441" w:rsidRDefault="00603813" w:rsidP="003A7808">
      <w:pPr>
        <w:widowControl w:val="0"/>
        <w:autoSpaceDE w:val="0"/>
        <w:autoSpaceDN w:val="0"/>
        <w:adjustRightInd w:val="0"/>
        <w:spacing w:after="240"/>
        <w:rPr>
          <w:rFonts w:ascii="Calibri" w:hAnsi="Calibri" w:cs="Times"/>
          <w:sz w:val="22"/>
          <w:szCs w:val="22"/>
          <w:lang w:val="tr-TR"/>
        </w:rPr>
      </w:pPr>
      <w:r w:rsidRPr="00DE7441">
        <w:rPr>
          <w:rFonts w:ascii="Calibri" w:hAnsi="Calibri" w:cs="Times"/>
          <w:sz w:val="22"/>
          <w:szCs w:val="22"/>
          <w:lang w:val="tr-TR"/>
        </w:rPr>
        <w:t xml:space="preserve">62. Türkiye’de yargının bugün geçmişe göre daha da kırılgan hale gelen durumu gözetildiğinde, </w:t>
      </w:r>
      <w:r w:rsidR="00DE7441" w:rsidRPr="00DE7441">
        <w:rPr>
          <w:rFonts w:ascii="Calibri" w:hAnsi="Calibri" w:cs="Times"/>
          <w:sz w:val="22"/>
          <w:szCs w:val="22"/>
          <w:lang w:val="tr-TR"/>
        </w:rPr>
        <w:t>milletvekilleri</w:t>
      </w:r>
      <w:r w:rsidRPr="00DE7441">
        <w:rPr>
          <w:rFonts w:ascii="Calibri" w:hAnsi="Calibri" w:cs="Times"/>
          <w:sz w:val="22"/>
          <w:szCs w:val="22"/>
          <w:lang w:val="tr-TR"/>
        </w:rPr>
        <w:t xml:space="preserve"> Anayasa’nın 83. ve 85. Maddelerinin ve Meclis Tüzüğünün sağladığı usul güvenceleri olmadan olası keyfi yargılamalara maruz kalmamalıdır. Mevcut durumu dikkate alındığında, Milletvekillerinin dokunulmazlıklarının kaldırılması için olabilecek en kötü zaman seçilmiş gibi görünmektedir. </w:t>
      </w:r>
    </w:p>
    <w:p w:rsidR="00603813" w:rsidRPr="00DE7441" w:rsidRDefault="00603813" w:rsidP="002130BE">
      <w:pPr>
        <w:pStyle w:val="Balk2"/>
        <w:rPr>
          <w:lang w:val="tr-TR"/>
        </w:rPr>
      </w:pPr>
      <w:bookmarkStart w:id="12" w:name="_Toc341526734"/>
      <w:r w:rsidRPr="00DE7441">
        <w:rPr>
          <w:lang w:val="tr-TR"/>
        </w:rPr>
        <w:t>C. Orantılılık</w:t>
      </w:r>
      <w:bookmarkEnd w:id="12"/>
    </w:p>
    <w:p w:rsidR="00603813" w:rsidRPr="00DE7441" w:rsidRDefault="00603813" w:rsidP="00603813">
      <w:pPr>
        <w:rPr>
          <w:rFonts w:ascii="Calibri" w:hAnsi="Calibri"/>
          <w:sz w:val="22"/>
          <w:szCs w:val="22"/>
          <w:lang w:val="tr-TR"/>
        </w:rPr>
      </w:pPr>
      <w:r w:rsidRPr="00DE7441">
        <w:rPr>
          <w:rFonts w:ascii="Calibri" w:hAnsi="Calibri"/>
          <w:sz w:val="22"/>
          <w:szCs w:val="22"/>
          <w:lang w:val="tr-TR"/>
        </w:rPr>
        <w:t xml:space="preserve">63. Anayasa Değişikliği Kanunu’nun genel gerekçesinde </w:t>
      </w:r>
      <w:r w:rsidR="007C6B80" w:rsidRPr="00DE7441">
        <w:rPr>
          <w:rFonts w:ascii="Calibri" w:hAnsi="Calibri"/>
          <w:sz w:val="22"/>
          <w:szCs w:val="22"/>
          <w:lang w:val="tr-TR"/>
        </w:rPr>
        <w:t xml:space="preserve">dokunulmazlıkların </w:t>
      </w:r>
      <w:r w:rsidRPr="00DE7441">
        <w:rPr>
          <w:rFonts w:ascii="Calibri" w:hAnsi="Calibri"/>
          <w:sz w:val="22"/>
          <w:szCs w:val="22"/>
          <w:lang w:val="tr-TR"/>
        </w:rPr>
        <w:t xml:space="preserve">tamamının kaldırılması ve aynı zamanda Meclis çalışmalarının tıkanmasına da fırsat verilmemesi dikkate alındığında Anayasaya geçici bir madde eklemek suretiyle bir çözüm </w:t>
      </w:r>
      <w:r w:rsidR="00DE7441" w:rsidRPr="00DE7441">
        <w:rPr>
          <w:rFonts w:ascii="Calibri" w:hAnsi="Calibri"/>
          <w:sz w:val="22"/>
          <w:szCs w:val="22"/>
          <w:lang w:val="tr-TR"/>
        </w:rPr>
        <w:t>düşünüldüğü</w:t>
      </w:r>
      <w:r w:rsidRPr="00DE7441">
        <w:rPr>
          <w:rFonts w:ascii="Calibri" w:hAnsi="Calibri"/>
          <w:sz w:val="22"/>
          <w:szCs w:val="22"/>
          <w:lang w:val="tr-TR"/>
        </w:rPr>
        <w:t xml:space="preserve"> ifade edilmiştir. Mecliste bekleyen çok sayıda fezleke </w:t>
      </w:r>
      <w:r w:rsidR="007C6B80" w:rsidRPr="00DE7441">
        <w:rPr>
          <w:rFonts w:ascii="Calibri" w:hAnsi="Calibri"/>
          <w:sz w:val="22"/>
          <w:szCs w:val="22"/>
          <w:lang w:val="tr-TR"/>
        </w:rPr>
        <w:t>olduğundan</w:t>
      </w:r>
      <w:r w:rsidRPr="00DE7441">
        <w:rPr>
          <w:rFonts w:ascii="Calibri" w:hAnsi="Calibri"/>
          <w:sz w:val="22"/>
          <w:szCs w:val="22"/>
          <w:lang w:val="tr-TR"/>
        </w:rPr>
        <w:t xml:space="preserve">, </w:t>
      </w:r>
      <w:r w:rsidR="007C6B80" w:rsidRPr="00DE7441">
        <w:rPr>
          <w:rFonts w:ascii="Calibri" w:hAnsi="Calibri"/>
          <w:sz w:val="22"/>
          <w:szCs w:val="22"/>
          <w:lang w:val="tr-TR"/>
        </w:rPr>
        <w:t xml:space="preserve">bu süreçlere çok fazla zaman ayrılmış olacak ve </w:t>
      </w:r>
      <w:r w:rsidRPr="00DE7441">
        <w:rPr>
          <w:rFonts w:ascii="Calibri" w:hAnsi="Calibri"/>
          <w:sz w:val="22"/>
          <w:szCs w:val="22"/>
          <w:lang w:val="tr-TR"/>
        </w:rPr>
        <w:t xml:space="preserve">uzun bir süreç sebebiyle Meclis çalışmaları tıkanmış </w:t>
      </w:r>
      <w:r w:rsidR="007C6B80" w:rsidRPr="00DE7441">
        <w:rPr>
          <w:rFonts w:ascii="Calibri" w:hAnsi="Calibri"/>
          <w:sz w:val="22"/>
          <w:szCs w:val="22"/>
          <w:lang w:val="tr-TR"/>
        </w:rPr>
        <w:t xml:space="preserve">olacaktı. </w:t>
      </w:r>
    </w:p>
    <w:p w:rsidR="005433BE" w:rsidRPr="00DE7441" w:rsidRDefault="005433BE" w:rsidP="00603813">
      <w:pPr>
        <w:rPr>
          <w:rFonts w:ascii="Calibri" w:hAnsi="Calibri"/>
          <w:sz w:val="22"/>
          <w:szCs w:val="22"/>
          <w:lang w:val="tr-TR"/>
        </w:rPr>
      </w:pPr>
    </w:p>
    <w:p w:rsidR="00210A34" w:rsidRPr="00DE7441" w:rsidRDefault="00210A34" w:rsidP="00210A34">
      <w:pPr>
        <w:rPr>
          <w:rFonts w:ascii="Calibri" w:hAnsi="Calibri"/>
          <w:sz w:val="22"/>
          <w:szCs w:val="22"/>
          <w:lang w:val="tr-TR"/>
        </w:rPr>
      </w:pPr>
      <w:r w:rsidRPr="00DE7441">
        <w:rPr>
          <w:rFonts w:ascii="Calibri" w:hAnsi="Calibri"/>
          <w:sz w:val="22"/>
          <w:szCs w:val="22"/>
          <w:lang w:val="tr-TR"/>
        </w:rPr>
        <w:t xml:space="preserve">64. </w:t>
      </w:r>
      <w:r w:rsidR="000603B8" w:rsidRPr="00DE7441">
        <w:rPr>
          <w:rFonts w:ascii="Calibri" w:hAnsi="Calibri"/>
          <w:sz w:val="22"/>
          <w:szCs w:val="22"/>
          <w:lang w:val="tr-TR"/>
        </w:rPr>
        <w:t xml:space="preserve">Dokunulmazlıkların geçici bir düzenlemeyle kaldırılmasına alternatif olarak Meclis İçtüzüğündeki karmaşık </w:t>
      </w:r>
      <w:proofErr w:type="gramStart"/>
      <w:r w:rsidR="000603B8" w:rsidRPr="00DE7441">
        <w:rPr>
          <w:rFonts w:ascii="Calibri" w:hAnsi="Calibri"/>
          <w:sz w:val="22"/>
          <w:szCs w:val="22"/>
          <w:lang w:val="tr-TR"/>
        </w:rPr>
        <w:t>prosedürü</w:t>
      </w:r>
      <w:proofErr w:type="gramEnd"/>
      <w:r w:rsidR="000603B8" w:rsidRPr="00DE7441">
        <w:rPr>
          <w:rFonts w:ascii="Calibri" w:hAnsi="Calibri"/>
          <w:sz w:val="22"/>
          <w:szCs w:val="22"/>
          <w:lang w:val="tr-TR"/>
        </w:rPr>
        <w:t xml:space="preserve"> basitleştirmenin mümkün olup olmayacağının sorulması üzerine, iktidar partisi heyete bunun mümkün olmayacağını zira usulün </w:t>
      </w:r>
      <w:r w:rsidR="00DE7441" w:rsidRPr="00DE7441">
        <w:rPr>
          <w:rFonts w:ascii="Calibri" w:hAnsi="Calibri"/>
          <w:sz w:val="22"/>
          <w:szCs w:val="22"/>
          <w:lang w:val="tr-TR"/>
        </w:rPr>
        <w:t>Anayasa’da</w:t>
      </w:r>
      <w:r w:rsidR="000603B8" w:rsidRPr="00DE7441">
        <w:rPr>
          <w:rFonts w:ascii="Calibri" w:hAnsi="Calibri"/>
          <w:sz w:val="22"/>
          <w:szCs w:val="22"/>
          <w:lang w:val="tr-TR"/>
        </w:rPr>
        <w:t xml:space="preserve"> belirlendiğini ve İçtüzüğün Anayasa’ya aykırı olamayacağını söylemiştir. </w:t>
      </w:r>
      <w:r w:rsidR="008841C0" w:rsidRPr="00DE7441">
        <w:rPr>
          <w:rFonts w:ascii="Calibri" w:hAnsi="Calibri"/>
          <w:sz w:val="22"/>
          <w:szCs w:val="22"/>
          <w:lang w:val="tr-TR"/>
        </w:rPr>
        <w:t>Muhalefet partileri CHP ve HDP bu görüşe katılmamışlar ve Meclisin dosya sayısıyla başa çıkabileceğini belirtmişlerdir</w:t>
      </w:r>
      <w:r w:rsidRPr="00DE7441">
        <w:rPr>
          <w:rFonts w:ascii="Calibri" w:hAnsi="Calibri"/>
          <w:sz w:val="22"/>
          <w:szCs w:val="22"/>
          <w:lang w:val="tr-TR"/>
        </w:rPr>
        <w:t>.</w:t>
      </w:r>
    </w:p>
    <w:p w:rsidR="00995154" w:rsidRPr="00DE7441" w:rsidRDefault="00995154" w:rsidP="00210A34">
      <w:pPr>
        <w:rPr>
          <w:rFonts w:ascii="Calibri" w:hAnsi="Calibri"/>
          <w:sz w:val="22"/>
          <w:szCs w:val="22"/>
          <w:lang w:val="tr-TR"/>
        </w:rPr>
      </w:pPr>
    </w:p>
    <w:p w:rsidR="00995154" w:rsidRPr="00DE7441" w:rsidRDefault="00210A34" w:rsidP="00210A34">
      <w:pPr>
        <w:rPr>
          <w:rFonts w:ascii="Calibri" w:hAnsi="Calibri"/>
          <w:sz w:val="22"/>
          <w:szCs w:val="22"/>
          <w:lang w:val="tr-TR"/>
        </w:rPr>
      </w:pPr>
      <w:r w:rsidRPr="00DE7441">
        <w:rPr>
          <w:rFonts w:ascii="Calibri" w:hAnsi="Calibri"/>
          <w:sz w:val="22"/>
          <w:szCs w:val="22"/>
          <w:lang w:val="tr-TR"/>
        </w:rPr>
        <w:t xml:space="preserve">65. </w:t>
      </w:r>
      <w:r w:rsidR="00995154" w:rsidRPr="00DE7441">
        <w:rPr>
          <w:rFonts w:ascii="Calibri" w:hAnsi="Calibri"/>
          <w:sz w:val="22"/>
          <w:szCs w:val="22"/>
          <w:lang w:val="tr-TR"/>
        </w:rPr>
        <w:t xml:space="preserve">Komisyon’un görüşüne göre, Anayasa’nın 83 ve 85. Maddeleri Meclisin çalışma usulünü sadeleştirmeye yeterince </w:t>
      </w:r>
      <w:proofErr w:type="gramStart"/>
      <w:r w:rsidR="00995154" w:rsidRPr="00DE7441">
        <w:rPr>
          <w:rFonts w:ascii="Calibri" w:hAnsi="Calibri"/>
          <w:sz w:val="22"/>
          <w:szCs w:val="22"/>
          <w:lang w:val="tr-TR"/>
        </w:rPr>
        <w:t>imkan</w:t>
      </w:r>
      <w:proofErr w:type="gramEnd"/>
      <w:r w:rsidR="00995154" w:rsidRPr="00DE7441">
        <w:rPr>
          <w:rFonts w:ascii="Calibri" w:hAnsi="Calibri"/>
          <w:sz w:val="22"/>
          <w:szCs w:val="22"/>
          <w:lang w:val="tr-TR"/>
        </w:rPr>
        <w:t xml:space="preserve"> tanımaktadır. Aslında, bu maddeler detaylı bir </w:t>
      </w:r>
      <w:proofErr w:type="gramStart"/>
      <w:r w:rsidR="00995154" w:rsidRPr="00DE7441">
        <w:rPr>
          <w:rFonts w:ascii="Calibri" w:hAnsi="Calibri"/>
          <w:sz w:val="22"/>
          <w:szCs w:val="22"/>
          <w:lang w:val="tr-TR"/>
        </w:rPr>
        <w:t>prosedür</w:t>
      </w:r>
      <w:proofErr w:type="gramEnd"/>
      <w:r w:rsidR="00995154" w:rsidRPr="00DE7441">
        <w:rPr>
          <w:rFonts w:ascii="Calibri" w:hAnsi="Calibri"/>
          <w:sz w:val="22"/>
          <w:szCs w:val="22"/>
          <w:lang w:val="tr-TR"/>
        </w:rPr>
        <w:t xml:space="preserve"> dayatmamaktadır. Hazırlık Komisyonu’nun Karma Komisyon’a, Karma Komisyon’un da Genel Kurul’a rapor vermesini öngören </w:t>
      </w:r>
      <w:r w:rsidR="0003469C" w:rsidRPr="00DE7441">
        <w:rPr>
          <w:rFonts w:ascii="Calibri" w:hAnsi="Calibri"/>
          <w:sz w:val="22"/>
          <w:szCs w:val="22"/>
          <w:lang w:val="tr-TR"/>
        </w:rPr>
        <w:t>usul</w:t>
      </w:r>
      <w:r w:rsidR="00995154" w:rsidRPr="00DE7441">
        <w:rPr>
          <w:rFonts w:ascii="Calibri" w:hAnsi="Calibri"/>
          <w:sz w:val="22"/>
          <w:szCs w:val="22"/>
          <w:lang w:val="tr-TR"/>
        </w:rPr>
        <w:t xml:space="preserve"> Meclis İçtüzüğünden doğmaktadır. Böyle bir </w:t>
      </w:r>
      <w:proofErr w:type="gramStart"/>
      <w:r w:rsidR="00995154" w:rsidRPr="00DE7441">
        <w:rPr>
          <w:rFonts w:ascii="Calibri" w:hAnsi="Calibri"/>
          <w:sz w:val="22"/>
          <w:szCs w:val="22"/>
          <w:lang w:val="tr-TR"/>
        </w:rPr>
        <w:t>prosedür</w:t>
      </w:r>
      <w:proofErr w:type="gramEnd"/>
      <w:r w:rsidR="00995154" w:rsidRPr="00DE7441">
        <w:rPr>
          <w:rFonts w:ascii="Calibri" w:hAnsi="Calibri"/>
          <w:sz w:val="22"/>
          <w:szCs w:val="22"/>
          <w:lang w:val="tr-TR"/>
        </w:rPr>
        <w:t xml:space="preserve"> elbette dokunulmazlıktan yana işlemektedir ve ilgili milletvekilleri için çok sayıda güvence getirmektedir; ancak karmaşıklığından dolayı genellikle pratikte uygulanmaması sonucunu doğurmuş ve TBMM bu süreci işletmek yerine milletvekillerinin görev süresinin dolmasını beklemeyi tercih etmiştir. Milletvekilleri için tek bir savunmanın olduğu basitleştirilmiş bir </w:t>
      </w:r>
      <w:proofErr w:type="gramStart"/>
      <w:r w:rsidR="00995154" w:rsidRPr="00DE7441">
        <w:rPr>
          <w:rFonts w:ascii="Calibri" w:hAnsi="Calibri"/>
          <w:sz w:val="22"/>
          <w:szCs w:val="22"/>
          <w:lang w:val="tr-TR"/>
        </w:rPr>
        <w:t>prosedür</w:t>
      </w:r>
      <w:proofErr w:type="gramEnd"/>
      <w:r w:rsidR="00995154" w:rsidRPr="00DE7441">
        <w:rPr>
          <w:rFonts w:ascii="Calibri" w:hAnsi="Calibri"/>
          <w:sz w:val="22"/>
          <w:szCs w:val="22"/>
          <w:lang w:val="tr-TR"/>
        </w:rPr>
        <w:t xml:space="preserve"> öngörülebilir ve 83. Maddenin çerçevesine bağlı kalındığı taktirde anayasaya aykırı olmayacaktır. </w:t>
      </w:r>
    </w:p>
    <w:p w:rsidR="00995154" w:rsidRPr="00DE7441" w:rsidRDefault="00995154" w:rsidP="00210A34">
      <w:pPr>
        <w:rPr>
          <w:rFonts w:ascii="Calibri" w:hAnsi="Calibri"/>
          <w:sz w:val="22"/>
          <w:szCs w:val="22"/>
          <w:lang w:val="tr-TR"/>
        </w:rPr>
      </w:pPr>
    </w:p>
    <w:p w:rsidR="00995154" w:rsidRPr="00DE7441" w:rsidRDefault="00995154" w:rsidP="00995154">
      <w:pPr>
        <w:rPr>
          <w:rFonts w:ascii="Calibri" w:hAnsi="Calibri"/>
          <w:sz w:val="22"/>
          <w:szCs w:val="22"/>
          <w:lang w:val="tr-TR"/>
        </w:rPr>
      </w:pPr>
      <w:r w:rsidRPr="00DE7441">
        <w:rPr>
          <w:rFonts w:ascii="Calibri" w:hAnsi="Calibri"/>
          <w:sz w:val="22"/>
          <w:szCs w:val="22"/>
          <w:lang w:val="tr-TR"/>
        </w:rPr>
        <w:t xml:space="preserve">66. </w:t>
      </w:r>
      <w:r w:rsidR="00DE7441" w:rsidRPr="00DE7441">
        <w:rPr>
          <w:rFonts w:ascii="Calibri" w:hAnsi="Calibri"/>
          <w:sz w:val="22"/>
          <w:szCs w:val="22"/>
          <w:lang w:val="tr-TR"/>
        </w:rPr>
        <w:t>Dokunulmazlıkların</w:t>
      </w:r>
      <w:r w:rsidR="0003469C" w:rsidRPr="00DE7441">
        <w:rPr>
          <w:rFonts w:ascii="Calibri" w:hAnsi="Calibri"/>
          <w:sz w:val="22"/>
          <w:szCs w:val="22"/>
          <w:lang w:val="tr-TR"/>
        </w:rPr>
        <w:t xml:space="preserve"> kaldırılması ile ilgili </w:t>
      </w:r>
      <w:proofErr w:type="gramStart"/>
      <w:r w:rsidR="0003469C" w:rsidRPr="00DE7441">
        <w:rPr>
          <w:rFonts w:ascii="Calibri" w:hAnsi="Calibri"/>
          <w:sz w:val="22"/>
          <w:szCs w:val="22"/>
          <w:lang w:val="tr-TR"/>
        </w:rPr>
        <w:t>prosedürün</w:t>
      </w:r>
      <w:proofErr w:type="gramEnd"/>
      <w:r w:rsidR="0003469C" w:rsidRPr="00DE7441">
        <w:rPr>
          <w:rFonts w:ascii="Calibri" w:hAnsi="Calibri"/>
          <w:sz w:val="22"/>
          <w:szCs w:val="22"/>
          <w:lang w:val="tr-TR"/>
        </w:rPr>
        <w:t xml:space="preserve"> basitleştirilemeyeceği varsayılsa bile, ilgili milletvekillerinin dokunulmazlıklarının </w:t>
      </w:r>
      <w:proofErr w:type="spellStart"/>
      <w:r w:rsidR="00DE7441">
        <w:rPr>
          <w:rFonts w:ascii="Calibri" w:hAnsi="Calibri"/>
          <w:sz w:val="22"/>
          <w:szCs w:val="22"/>
          <w:lang w:val="tr-TR"/>
        </w:rPr>
        <w:t>topyekü</w:t>
      </w:r>
      <w:r w:rsidR="00DE7441" w:rsidRPr="00DE7441">
        <w:rPr>
          <w:rFonts w:ascii="Calibri" w:hAnsi="Calibri"/>
          <w:sz w:val="22"/>
          <w:szCs w:val="22"/>
          <w:lang w:val="tr-TR"/>
        </w:rPr>
        <w:t>n</w:t>
      </w:r>
      <w:proofErr w:type="spellEnd"/>
      <w:r w:rsidR="0003469C" w:rsidRPr="00DE7441">
        <w:rPr>
          <w:rFonts w:ascii="Calibri" w:hAnsi="Calibri"/>
          <w:sz w:val="22"/>
          <w:szCs w:val="22"/>
          <w:lang w:val="tr-TR"/>
        </w:rPr>
        <w:t xml:space="preserve"> kaldırılmasına gerek yoktu. </w:t>
      </w:r>
      <w:r w:rsidR="00A17A25" w:rsidRPr="00DE7441">
        <w:rPr>
          <w:rFonts w:ascii="Calibri" w:hAnsi="Calibri"/>
          <w:sz w:val="22"/>
          <w:szCs w:val="22"/>
          <w:lang w:val="tr-TR"/>
        </w:rPr>
        <w:t xml:space="preserve">En azından, </w:t>
      </w:r>
      <w:r w:rsidR="0094162F" w:rsidRPr="00DE7441">
        <w:rPr>
          <w:rFonts w:ascii="Calibri" w:hAnsi="Calibri"/>
          <w:sz w:val="22"/>
          <w:szCs w:val="22"/>
          <w:lang w:val="tr-TR"/>
        </w:rPr>
        <w:t xml:space="preserve">aynı </w:t>
      </w:r>
      <w:r w:rsidR="00DE7441">
        <w:rPr>
          <w:rFonts w:ascii="Calibri" w:hAnsi="Calibri"/>
          <w:sz w:val="22"/>
          <w:szCs w:val="22"/>
          <w:lang w:val="tr-TR"/>
        </w:rPr>
        <w:t>anayasa</w:t>
      </w:r>
      <w:r w:rsidR="0094162F" w:rsidRPr="00DE7441">
        <w:rPr>
          <w:rFonts w:ascii="Calibri" w:hAnsi="Calibri"/>
          <w:sz w:val="22"/>
          <w:szCs w:val="22"/>
          <w:lang w:val="tr-TR"/>
        </w:rPr>
        <w:t xml:space="preserve"> değişikliği kapsamında vekillerin yargılamaya karşı Anayasa Mahkemesi’ne itirazda bulunma hakları korunabilirdi. </w:t>
      </w:r>
      <w:r w:rsidR="0003469C" w:rsidRPr="00DE7441">
        <w:rPr>
          <w:rFonts w:ascii="Calibri" w:hAnsi="Calibri"/>
          <w:sz w:val="22"/>
          <w:szCs w:val="22"/>
          <w:lang w:val="tr-TR"/>
        </w:rPr>
        <w:t xml:space="preserve">Meclisin </w:t>
      </w:r>
      <w:r w:rsidR="00DE7441" w:rsidRPr="00DE7441">
        <w:rPr>
          <w:rFonts w:ascii="Calibri" w:hAnsi="Calibri"/>
          <w:sz w:val="22"/>
          <w:szCs w:val="22"/>
          <w:lang w:val="tr-TR"/>
        </w:rPr>
        <w:t>iş yükü</w:t>
      </w:r>
      <w:r w:rsidR="0003469C" w:rsidRPr="00DE7441">
        <w:rPr>
          <w:rFonts w:ascii="Calibri" w:hAnsi="Calibri"/>
          <w:sz w:val="22"/>
          <w:szCs w:val="22"/>
          <w:lang w:val="tr-TR"/>
        </w:rPr>
        <w:t xml:space="preserve"> Anayasa Mahkemesine itirazı kaldırmak için gerekçe gösterilemez</w:t>
      </w:r>
      <w:r w:rsidRPr="00DE7441">
        <w:rPr>
          <w:rFonts w:ascii="Calibri" w:hAnsi="Calibri"/>
          <w:sz w:val="22"/>
          <w:szCs w:val="22"/>
          <w:lang w:val="tr-TR"/>
        </w:rPr>
        <w:t>.</w:t>
      </w:r>
    </w:p>
    <w:p w:rsidR="00576986" w:rsidRPr="00DE7441" w:rsidRDefault="00576986" w:rsidP="00995154">
      <w:pPr>
        <w:rPr>
          <w:rFonts w:ascii="Calibri" w:hAnsi="Calibri"/>
          <w:sz w:val="22"/>
          <w:szCs w:val="22"/>
          <w:lang w:val="tr-TR"/>
        </w:rPr>
      </w:pPr>
    </w:p>
    <w:p w:rsidR="0094162F" w:rsidRPr="00DE7441" w:rsidRDefault="00995154" w:rsidP="00995154">
      <w:pPr>
        <w:rPr>
          <w:rFonts w:ascii="Calibri" w:hAnsi="Calibri"/>
          <w:sz w:val="22"/>
          <w:szCs w:val="22"/>
          <w:lang w:val="tr-TR"/>
        </w:rPr>
      </w:pPr>
      <w:r w:rsidRPr="00DE7441">
        <w:rPr>
          <w:rFonts w:ascii="Calibri" w:hAnsi="Calibri"/>
          <w:sz w:val="22"/>
          <w:szCs w:val="22"/>
          <w:lang w:val="tr-TR"/>
        </w:rPr>
        <w:t xml:space="preserve">67. </w:t>
      </w:r>
      <w:r w:rsidR="0094162F" w:rsidRPr="00DE7441">
        <w:rPr>
          <w:rFonts w:ascii="Calibri" w:hAnsi="Calibri"/>
          <w:sz w:val="22"/>
          <w:szCs w:val="22"/>
          <w:lang w:val="tr-TR"/>
        </w:rPr>
        <w:t xml:space="preserve">Daha hafif bir çözüm aramak yerine Meclis 139 milletvekilinin dokunulmazlıklarının tamamen kaldırılması gibi radikal bir tedbire başvurmuştur. Bu nedenle Venedik Komisyonu 139 Milletvekili için yasama dokunulmazlığının kaldırılması bağlamında bütün güvencelerin </w:t>
      </w:r>
      <w:proofErr w:type="spellStart"/>
      <w:r w:rsidR="0094162F" w:rsidRPr="00DE7441">
        <w:rPr>
          <w:rFonts w:ascii="Calibri" w:hAnsi="Calibri"/>
          <w:sz w:val="22"/>
          <w:szCs w:val="22"/>
          <w:lang w:val="tr-TR"/>
        </w:rPr>
        <w:t>topyekün</w:t>
      </w:r>
      <w:proofErr w:type="spellEnd"/>
      <w:r w:rsidR="0094162F" w:rsidRPr="00DE7441">
        <w:rPr>
          <w:rFonts w:ascii="Calibri" w:hAnsi="Calibri"/>
          <w:sz w:val="22"/>
          <w:szCs w:val="22"/>
          <w:lang w:val="tr-TR"/>
        </w:rPr>
        <w:t xml:space="preserve"> kaldırılmasının orantılılık ilkesine aykırı olduğu sonucuna varmıştır. </w:t>
      </w:r>
    </w:p>
    <w:p w:rsidR="00995154" w:rsidRPr="00DE7441" w:rsidRDefault="00995154" w:rsidP="00210A34">
      <w:pPr>
        <w:rPr>
          <w:rFonts w:ascii="Calibri" w:hAnsi="Calibri"/>
          <w:sz w:val="22"/>
          <w:szCs w:val="22"/>
          <w:lang w:val="tr-TR"/>
        </w:rPr>
      </w:pPr>
    </w:p>
    <w:p w:rsidR="00F57618" w:rsidRPr="00DE7441" w:rsidRDefault="00F57618" w:rsidP="002130BE">
      <w:pPr>
        <w:pStyle w:val="Balk2"/>
        <w:rPr>
          <w:lang w:val="tr-TR"/>
        </w:rPr>
      </w:pPr>
      <w:bookmarkStart w:id="13" w:name="_Toc341526735"/>
      <w:r w:rsidRPr="00DE7441">
        <w:rPr>
          <w:lang w:val="tr-TR"/>
        </w:rPr>
        <w:t xml:space="preserve">D. Dokunulmazlıkların geçici bir Anayasa </w:t>
      </w:r>
      <w:proofErr w:type="gramStart"/>
      <w:r w:rsidRPr="00DE7441">
        <w:rPr>
          <w:lang w:val="tr-TR"/>
        </w:rPr>
        <w:t>değişikliğiyle  kaldırılmasının</w:t>
      </w:r>
      <w:proofErr w:type="gramEnd"/>
      <w:r w:rsidRPr="00DE7441">
        <w:rPr>
          <w:lang w:val="tr-TR"/>
        </w:rPr>
        <w:t xml:space="preserve"> doğan geçici niteliği</w:t>
      </w:r>
      <w:bookmarkEnd w:id="13"/>
    </w:p>
    <w:p w:rsidR="00F57618" w:rsidRPr="00DE7441" w:rsidRDefault="00F57618" w:rsidP="00F57618">
      <w:pPr>
        <w:rPr>
          <w:rFonts w:ascii="Calibri" w:hAnsi="Calibri"/>
          <w:sz w:val="22"/>
          <w:szCs w:val="22"/>
          <w:lang w:val="tr-TR"/>
        </w:rPr>
      </w:pPr>
    </w:p>
    <w:p w:rsidR="00F57618" w:rsidRPr="00DE7441" w:rsidRDefault="00F57618" w:rsidP="00F57618">
      <w:pPr>
        <w:rPr>
          <w:rFonts w:ascii="Calibri" w:hAnsi="Calibri"/>
          <w:sz w:val="22"/>
          <w:szCs w:val="22"/>
          <w:lang w:val="tr-TR"/>
        </w:rPr>
      </w:pPr>
      <w:r w:rsidRPr="00DE7441">
        <w:rPr>
          <w:rFonts w:ascii="Calibri" w:hAnsi="Calibri"/>
          <w:sz w:val="22"/>
          <w:szCs w:val="22"/>
          <w:lang w:val="tr-TR"/>
        </w:rPr>
        <w:t xml:space="preserve">68. </w:t>
      </w:r>
      <w:r w:rsidR="001B6260" w:rsidRPr="00DE7441">
        <w:rPr>
          <w:rFonts w:ascii="Calibri" w:hAnsi="Calibri"/>
          <w:sz w:val="22"/>
          <w:szCs w:val="22"/>
          <w:lang w:val="tr-TR"/>
        </w:rPr>
        <w:t>Türkiye’de yasama dokunulmazlığı</w:t>
      </w:r>
      <w:r w:rsidR="00AF1E61" w:rsidRPr="00DE7441">
        <w:rPr>
          <w:rFonts w:ascii="Calibri" w:hAnsi="Calibri"/>
          <w:sz w:val="22"/>
          <w:szCs w:val="22"/>
          <w:lang w:val="tr-TR"/>
        </w:rPr>
        <w:t>n korunması</w:t>
      </w:r>
      <w:r w:rsidR="001B6260" w:rsidRPr="00DE7441">
        <w:rPr>
          <w:rFonts w:ascii="Calibri" w:hAnsi="Calibri"/>
          <w:sz w:val="22"/>
          <w:szCs w:val="22"/>
          <w:lang w:val="tr-TR"/>
        </w:rPr>
        <w:t xml:space="preserve"> lehine temel bir tercih yapıldığı</w:t>
      </w:r>
      <w:r w:rsidR="00AF1E61" w:rsidRPr="00DE7441">
        <w:rPr>
          <w:rFonts w:ascii="Calibri" w:hAnsi="Calibri"/>
          <w:sz w:val="22"/>
          <w:szCs w:val="22"/>
          <w:lang w:val="tr-TR"/>
        </w:rPr>
        <w:t>,</w:t>
      </w:r>
      <w:r w:rsidR="001B6260" w:rsidRPr="00DE7441">
        <w:rPr>
          <w:rFonts w:ascii="Calibri" w:hAnsi="Calibri"/>
          <w:sz w:val="22"/>
          <w:szCs w:val="22"/>
          <w:lang w:val="tr-TR"/>
        </w:rPr>
        <w:t xml:space="preserve"> TBMM’nin 12 Nisan 2016’da kurucu iktidar olarak görevini icra ettiği sırada </w:t>
      </w:r>
      <w:r w:rsidR="00AF1E61" w:rsidRPr="00DE7441">
        <w:rPr>
          <w:rFonts w:ascii="Calibri" w:hAnsi="Calibri"/>
          <w:sz w:val="22"/>
          <w:szCs w:val="22"/>
          <w:lang w:val="tr-TR"/>
        </w:rPr>
        <w:t xml:space="preserve">Anayasa’nın 83. ve 85. Maddelerini gelecekteki tüm dosyalar için muhafaza etmesinden anlaşılmaktadır. </w:t>
      </w:r>
    </w:p>
    <w:p w:rsidR="00AF1E61" w:rsidRPr="00DE7441" w:rsidRDefault="00AF1E61" w:rsidP="00F57618">
      <w:pPr>
        <w:rPr>
          <w:rFonts w:ascii="Calibri" w:hAnsi="Calibri"/>
          <w:sz w:val="22"/>
          <w:szCs w:val="22"/>
          <w:lang w:val="tr-TR"/>
        </w:rPr>
      </w:pPr>
    </w:p>
    <w:p w:rsidR="00F57618" w:rsidRPr="00DE7441" w:rsidRDefault="00F57618" w:rsidP="00F57618">
      <w:pPr>
        <w:rPr>
          <w:rFonts w:ascii="Calibri" w:hAnsi="Calibri"/>
          <w:sz w:val="22"/>
          <w:szCs w:val="22"/>
          <w:lang w:val="tr-TR"/>
        </w:rPr>
      </w:pPr>
      <w:r w:rsidRPr="00DE7441">
        <w:rPr>
          <w:rFonts w:ascii="Calibri" w:hAnsi="Calibri"/>
          <w:sz w:val="22"/>
          <w:szCs w:val="22"/>
          <w:lang w:val="tr-TR"/>
        </w:rPr>
        <w:t xml:space="preserve">69. </w:t>
      </w:r>
      <w:r w:rsidR="00AF1E61" w:rsidRPr="00DE7441">
        <w:rPr>
          <w:rFonts w:ascii="Calibri" w:hAnsi="Calibri"/>
          <w:sz w:val="22"/>
          <w:szCs w:val="22"/>
          <w:lang w:val="tr-TR"/>
        </w:rPr>
        <w:t xml:space="preserve">Geçici 20. Maddenin geçici olduğu </w:t>
      </w:r>
      <w:proofErr w:type="gramStart"/>
      <w:r w:rsidR="00AF1E61" w:rsidRPr="00DE7441">
        <w:rPr>
          <w:rFonts w:ascii="Calibri" w:hAnsi="Calibri"/>
          <w:sz w:val="22"/>
          <w:szCs w:val="22"/>
          <w:lang w:val="tr-TR"/>
        </w:rPr>
        <w:t>aşikardır</w:t>
      </w:r>
      <w:proofErr w:type="gramEnd"/>
      <w:r w:rsidR="00AF1E61" w:rsidRPr="00DE7441">
        <w:rPr>
          <w:rFonts w:ascii="Calibri" w:hAnsi="Calibri"/>
          <w:sz w:val="22"/>
          <w:szCs w:val="22"/>
          <w:lang w:val="tr-TR"/>
        </w:rPr>
        <w:t xml:space="preserve">. Bu hüküm Anayasa’da ‘Geçici </w:t>
      </w:r>
      <w:proofErr w:type="spellStart"/>
      <w:r w:rsidR="00AF1E61" w:rsidRPr="00DE7441">
        <w:rPr>
          <w:rFonts w:ascii="Calibri" w:hAnsi="Calibri"/>
          <w:sz w:val="22"/>
          <w:szCs w:val="22"/>
          <w:lang w:val="tr-TR"/>
        </w:rPr>
        <w:t>Hükümler’in</w:t>
      </w:r>
      <w:proofErr w:type="spellEnd"/>
      <w:r w:rsidR="00AF1E61" w:rsidRPr="00DE7441">
        <w:rPr>
          <w:rFonts w:ascii="Calibri" w:hAnsi="Calibri"/>
          <w:sz w:val="22"/>
          <w:szCs w:val="22"/>
          <w:lang w:val="tr-TR"/>
        </w:rPr>
        <w:t xml:space="preserve"> toplandığı Altıncı Kısım’da yer almaktadır. Geçici 20. Maddenin yürürlüğe girdiği tarihte hazır olmayan fezlekeler bu maddenin kapsamı dışında kalmakta ve olağan sistem kapsamında yer almaktadır. Bu durumda 20. Madde ‘tek seferlik’ bir istisnadır. Bunun sonucunda, Geçici 20. Madde (soyut unsurları barındıran) genel bir kural olmayıp geçici bir çözümdür</w:t>
      </w:r>
      <w:r w:rsidRPr="00DE7441">
        <w:rPr>
          <w:rFonts w:ascii="Calibri" w:hAnsi="Calibri"/>
          <w:sz w:val="22"/>
          <w:szCs w:val="22"/>
          <w:lang w:val="tr-TR"/>
        </w:rPr>
        <w:t>.</w:t>
      </w:r>
    </w:p>
    <w:p w:rsidR="00FB0D5B" w:rsidRPr="00DE7441" w:rsidRDefault="00FB0D5B" w:rsidP="00F57618">
      <w:pPr>
        <w:rPr>
          <w:rFonts w:ascii="Calibri" w:hAnsi="Calibri"/>
          <w:sz w:val="22"/>
          <w:szCs w:val="22"/>
          <w:lang w:val="tr-TR"/>
        </w:rPr>
      </w:pPr>
    </w:p>
    <w:p w:rsidR="00970CFD" w:rsidRPr="00DE7441" w:rsidRDefault="00FB0D5B" w:rsidP="00970CFD">
      <w:pPr>
        <w:rPr>
          <w:rFonts w:ascii="Calibri" w:hAnsi="Calibri"/>
          <w:sz w:val="22"/>
          <w:szCs w:val="22"/>
          <w:lang w:val="tr-TR"/>
        </w:rPr>
      </w:pPr>
      <w:r w:rsidRPr="00DE7441">
        <w:rPr>
          <w:rFonts w:ascii="Calibri" w:hAnsi="Calibri"/>
          <w:sz w:val="22"/>
          <w:szCs w:val="22"/>
          <w:lang w:val="tr-TR"/>
        </w:rPr>
        <w:t>70. Komisyon heyetine Türkiye’de geçmişte de Anayasa değişikliği yoluyla Anayasa’ya geçici maddelerin eklendiği bildirilmiştir. Bu durum özellikle 27 Aralık 2002 tarih ve 4777 Sayılı Kanun’un Geçici 1. Maddesi ile ilgilidir</w:t>
      </w:r>
      <w:r w:rsidRPr="00DE7441">
        <w:rPr>
          <w:rStyle w:val="DipnotBavurusu"/>
          <w:rFonts w:ascii="Calibri" w:hAnsi="Calibri"/>
          <w:sz w:val="22"/>
          <w:szCs w:val="22"/>
          <w:lang w:val="tr-TR"/>
        </w:rPr>
        <w:footnoteReference w:id="25"/>
      </w:r>
      <w:r w:rsidRPr="00DE7441">
        <w:rPr>
          <w:rFonts w:ascii="Calibri" w:hAnsi="Calibri"/>
          <w:sz w:val="22"/>
          <w:szCs w:val="22"/>
          <w:lang w:val="tr-TR"/>
        </w:rPr>
        <w:t xml:space="preserve">. Bu maddeye göre, Anayasa’nın 67. </w:t>
      </w:r>
      <w:r w:rsidR="00DE7441" w:rsidRPr="00DE7441">
        <w:rPr>
          <w:rFonts w:ascii="Calibri" w:hAnsi="Calibri"/>
          <w:sz w:val="22"/>
          <w:szCs w:val="22"/>
          <w:lang w:val="tr-TR"/>
        </w:rPr>
        <w:t>Maddesinin</w:t>
      </w:r>
      <w:r w:rsidRPr="00DE7441">
        <w:rPr>
          <w:rFonts w:ascii="Calibri" w:hAnsi="Calibri"/>
          <w:sz w:val="22"/>
          <w:szCs w:val="22"/>
          <w:lang w:val="tr-TR"/>
        </w:rPr>
        <w:t xml:space="preserve"> son fıkrası TBMM’nin 22. Döneminde yapılacak ilk ara seçimlerde uygulanmayacaktır. Anayasa’nın 67. Maddesinin son fıkrası</w:t>
      </w:r>
      <w:r w:rsidR="00970CFD" w:rsidRPr="00DE7441">
        <w:rPr>
          <w:rFonts w:ascii="Calibri" w:hAnsi="Calibri"/>
          <w:sz w:val="22"/>
          <w:szCs w:val="22"/>
          <w:lang w:val="tr-TR"/>
        </w:rPr>
        <w:t>na göre, seçim kanunlarında yapılan değişiklikler, yürürlüğe girdiği tarihten itibaren bir yıl içinde yapılacak seçimlerde uygulanmaz.</w:t>
      </w:r>
    </w:p>
    <w:p w:rsidR="00745328" w:rsidRPr="00DE7441" w:rsidRDefault="00745328" w:rsidP="00745328">
      <w:pPr>
        <w:rPr>
          <w:rFonts w:ascii="Calibri" w:hAnsi="Calibri"/>
          <w:sz w:val="22"/>
          <w:szCs w:val="22"/>
          <w:lang w:val="tr-TR"/>
        </w:rPr>
      </w:pPr>
      <w:r w:rsidRPr="00DE7441">
        <w:rPr>
          <w:rFonts w:ascii="Calibri" w:hAnsi="Calibri"/>
          <w:sz w:val="22"/>
          <w:szCs w:val="22"/>
          <w:lang w:val="tr-TR"/>
        </w:rPr>
        <w:t>Bu güvence, 2 Ekim 2001 tarihli Anayasa değişikliğiyle eklenmiştir.</w:t>
      </w:r>
      <w:r w:rsidRPr="00DE7441">
        <w:rPr>
          <w:rStyle w:val="DipnotBavurusu"/>
          <w:rFonts w:ascii="Calibri" w:hAnsi="Calibri"/>
          <w:sz w:val="22"/>
          <w:szCs w:val="22"/>
          <w:lang w:val="tr-TR"/>
        </w:rPr>
        <w:footnoteReference w:id="26"/>
      </w:r>
      <w:r w:rsidRPr="00DE7441">
        <w:rPr>
          <w:rFonts w:ascii="Calibri" w:hAnsi="Calibri"/>
          <w:sz w:val="22"/>
          <w:szCs w:val="22"/>
          <w:lang w:val="tr-TR"/>
        </w:rPr>
        <w:t xml:space="preserve"> Aynı istisna, Geçici 17. Maddenin getirildiği 10 Mayıs 2007 tarih ve 5659 sayılı Kanunla da gerçekleşmiştir.</w:t>
      </w:r>
      <w:r w:rsidRPr="00DE7441">
        <w:rPr>
          <w:rStyle w:val="DipnotBavurusu"/>
          <w:rFonts w:ascii="Calibri" w:hAnsi="Calibri"/>
          <w:sz w:val="22"/>
          <w:szCs w:val="22"/>
          <w:lang w:val="tr-TR"/>
        </w:rPr>
        <w:footnoteReference w:id="27"/>
      </w:r>
    </w:p>
    <w:p w:rsidR="00FB0D5B" w:rsidRPr="00DE7441" w:rsidRDefault="00FB0D5B" w:rsidP="00FB0D5B">
      <w:pPr>
        <w:rPr>
          <w:rFonts w:ascii="Calibri" w:hAnsi="Calibri"/>
          <w:sz w:val="22"/>
          <w:szCs w:val="22"/>
          <w:lang w:val="tr-TR"/>
        </w:rPr>
      </w:pPr>
    </w:p>
    <w:p w:rsidR="00780BAD" w:rsidRPr="00DE7441" w:rsidRDefault="00780BAD" w:rsidP="00780BAD">
      <w:pPr>
        <w:rPr>
          <w:rFonts w:ascii="Calibri" w:hAnsi="Calibri"/>
          <w:sz w:val="22"/>
          <w:szCs w:val="22"/>
          <w:lang w:val="tr-TR"/>
        </w:rPr>
      </w:pPr>
      <w:r w:rsidRPr="00DE7441">
        <w:rPr>
          <w:rFonts w:ascii="Calibri" w:hAnsi="Calibri"/>
          <w:sz w:val="22"/>
          <w:szCs w:val="22"/>
          <w:lang w:val="tr-TR"/>
        </w:rPr>
        <w:t xml:space="preserve">71. </w:t>
      </w:r>
      <w:r w:rsidR="009E1F6D" w:rsidRPr="00DE7441">
        <w:rPr>
          <w:rFonts w:ascii="Calibri" w:hAnsi="Calibri"/>
          <w:sz w:val="22"/>
          <w:szCs w:val="22"/>
          <w:lang w:val="tr-TR"/>
        </w:rPr>
        <w:t>Bu düzenleme, 27 Aralık 2002 tarih ve 4777 Sayılı Kanun ile 10 Mayıs 2007 tarih ve 5659 Sayılı Kanunun yürürlüğe girdikleri tarihten sonra yapılan ara seçimlerde, seçimlerden önceki bir yıl içinde kabul edilen seçim kanunu değişikliklerinin uygulanabildiği anlamına gelmektedir. Bu düzenlemeler gerçekten de bir anayasa hükmüne getirilen geçici istisnalara örnektir. Ancak, nitelikleri bakımından 12 Nisan 2016 tarihinde yapılan değişiklikle karşılaştırılamazlar</w:t>
      </w:r>
      <w:r w:rsidR="00FC4B17" w:rsidRPr="00DE7441">
        <w:rPr>
          <w:rFonts w:ascii="Calibri" w:hAnsi="Calibri"/>
          <w:sz w:val="22"/>
          <w:szCs w:val="22"/>
          <w:lang w:val="tr-TR"/>
        </w:rPr>
        <w:t xml:space="preserve">; </w:t>
      </w:r>
      <w:r w:rsidR="009E1F6D" w:rsidRPr="00DE7441">
        <w:rPr>
          <w:rFonts w:ascii="Calibri" w:hAnsi="Calibri"/>
          <w:sz w:val="22"/>
          <w:szCs w:val="22"/>
          <w:lang w:val="tr-TR"/>
        </w:rPr>
        <w:t xml:space="preserve">önceki düzenlemeler bireylerin hukuki durumlarına müdahale </w:t>
      </w:r>
      <w:r w:rsidR="00FC4B17" w:rsidRPr="00DE7441">
        <w:rPr>
          <w:rFonts w:ascii="Calibri" w:hAnsi="Calibri"/>
          <w:sz w:val="22"/>
          <w:szCs w:val="22"/>
          <w:lang w:val="tr-TR"/>
        </w:rPr>
        <w:t xml:space="preserve">eder nitelikte değildir ve aynı şahsi özelliklere sahip </w:t>
      </w:r>
      <w:r w:rsidR="00DE7441" w:rsidRPr="00DE7441">
        <w:rPr>
          <w:rFonts w:ascii="Calibri" w:hAnsi="Calibri"/>
          <w:sz w:val="22"/>
          <w:szCs w:val="22"/>
          <w:lang w:val="tr-TR"/>
        </w:rPr>
        <w:t>değildir</w:t>
      </w:r>
      <w:r w:rsidR="00FC4B17" w:rsidRPr="00DE7441">
        <w:rPr>
          <w:rFonts w:ascii="Calibri" w:hAnsi="Calibri"/>
          <w:sz w:val="22"/>
          <w:szCs w:val="22"/>
          <w:lang w:val="tr-TR"/>
        </w:rPr>
        <w:t>. (aşağıda E Bölümü</w:t>
      </w:r>
      <w:r w:rsidR="009E1F6D" w:rsidRPr="00DE7441">
        <w:rPr>
          <w:rFonts w:ascii="Calibri" w:hAnsi="Calibri"/>
          <w:sz w:val="22"/>
          <w:szCs w:val="22"/>
          <w:lang w:val="tr-TR"/>
        </w:rPr>
        <w:t>ne bakınız</w:t>
      </w:r>
      <w:r w:rsidR="00FC4B17" w:rsidRPr="00DE7441">
        <w:rPr>
          <w:rFonts w:ascii="Calibri" w:hAnsi="Calibri"/>
          <w:sz w:val="22"/>
          <w:szCs w:val="22"/>
          <w:lang w:val="tr-TR"/>
        </w:rPr>
        <w:t>)</w:t>
      </w:r>
      <w:r w:rsidR="009E1F6D" w:rsidRPr="00DE7441">
        <w:rPr>
          <w:rFonts w:ascii="Calibri" w:hAnsi="Calibri"/>
          <w:sz w:val="22"/>
          <w:szCs w:val="22"/>
          <w:lang w:val="tr-TR"/>
        </w:rPr>
        <w:t>.</w:t>
      </w:r>
      <w:r w:rsidR="007317FE" w:rsidRPr="00DE7441">
        <w:rPr>
          <w:rFonts w:ascii="Calibri" w:hAnsi="Calibri"/>
          <w:sz w:val="22"/>
          <w:szCs w:val="22"/>
          <w:lang w:val="tr-TR"/>
        </w:rPr>
        <w:t xml:space="preserve">Esas bakımından farklı olmasının yanı </w:t>
      </w:r>
      <w:r w:rsidR="007317FE" w:rsidRPr="00DE7441">
        <w:rPr>
          <w:rFonts w:ascii="Calibri" w:hAnsi="Calibri"/>
          <w:sz w:val="22"/>
          <w:szCs w:val="22"/>
          <w:lang w:val="tr-TR"/>
        </w:rPr>
        <w:lastRenderedPageBreak/>
        <w:t xml:space="preserve">sıra, 2002 ve 2007 tarihli değişiklikler seçim sistemine getirilecek değişikliklerin seçimlerden hemen önce yapılmaması yönündeki 2001 tarihli </w:t>
      </w:r>
      <w:r w:rsidR="00893B89" w:rsidRPr="00DE7441">
        <w:rPr>
          <w:rFonts w:ascii="Calibri" w:hAnsi="Calibri"/>
          <w:sz w:val="22"/>
          <w:szCs w:val="22"/>
          <w:lang w:val="tr-TR"/>
        </w:rPr>
        <w:t xml:space="preserve">anayasal </w:t>
      </w:r>
      <w:r w:rsidR="007317FE" w:rsidRPr="00DE7441">
        <w:rPr>
          <w:rFonts w:ascii="Calibri" w:hAnsi="Calibri"/>
          <w:sz w:val="22"/>
          <w:szCs w:val="22"/>
          <w:lang w:val="tr-TR"/>
        </w:rPr>
        <w:t xml:space="preserve">güvenceyi tek bir seçim için kaldırmıştır. </w:t>
      </w:r>
      <w:r w:rsidR="00893B89" w:rsidRPr="00DE7441">
        <w:rPr>
          <w:rFonts w:ascii="Calibri" w:hAnsi="Calibri"/>
          <w:sz w:val="22"/>
          <w:szCs w:val="22"/>
          <w:lang w:val="tr-TR"/>
        </w:rPr>
        <w:t>4777 Sayılı Kanun’un Geçici 1. Maddesiyle 10 Mayıs 2007 tarihli 5659 sayılı Kanun’un geçici 17. Maddesini, bugünkü Değişiklik bakımından olumlu bir örnek olarak göstermek zordur</w:t>
      </w:r>
      <w:r w:rsidRPr="00DE7441">
        <w:rPr>
          <w:rFonts w:ascii="Calibri" w:hAnsi="Calibri"/>
          <w:sz w:val="22"/>
          <w:szCs w:val="22"/>
          <w:lang w:val="tr-TR"/>
        </w:rPr>
        <w:t>.</w:t>
      </w:r>
    </w:p>
    <w:p w:rsidR="009E1F6D" w:rsidRPr="00DE7441" w:rsidRDefault="009E1F6D" w:rsidP="00780BAD">
      <w:pPr>
        <w:rPr>
          <w:rFonts w:ascii="Calibri" w:hAnsi="Calibri"/>
          <w:sz w:val="22"/>
          <w:szCs w:val="22"/>
          <w:lang w:val="tr-TR"/>
        </w:rPr>
      </w:pPr>
    </w:p>
    <w:p w:rsidR="00780BAD" w:rsidRPr="00DE7441" w:rsidRDefault="00780BAD" w:rsidP="00780BAD">
      <w:pPr>
        <w:rPr>
          <w:rFonts w:ascii="Calibri" w:hAnsi="Calibri"/>
          <w:sz w:val="22"/>
          <w:szCs w:val="22"/>
          <w:lang w:val="tr-TR"/>
        </w:rPr>
      </w:pPr>
      <w:r w:rsidRPr="00DE7441">
        <w:rPr>
          <w:rFonts w:ascii="Calibri" w:hAnsi="Calibri"/>
          <w:sz w:val="22"/>
          <w:szCs w:val="22"/>
          <w:lang w:val="tr-TR"/>
        </w:rPr>
        <w:t xml:space="preserve">72. </w:t>
      </w:r>
      <w:r w:rsidR="00893B89" w:rsidRPr="00DE7441">
        <w:rPr>
          <w:rFonts w:ascii="Calibri" w:hAnsi="Calibri"/>
          <w:sz w:val="22"/>
          <w:szCs w:val="22"/>
          <w:lang w:val="tr-TR"/>
        </w:rPr>
        <w:t>Anayasa’ya geçici nitelikte bir istisna getirmek, Anayasa değişikliği yoluyla olsa dahi, özellikle anayasal güvencelerin azaltıldığı veya kaldırıldığı durumlar söz konusu olduğunu sorunludur</w:t>
      </w:r>
      <w:r w:rsidRPr="00DE7441">
        <w:rPr>
          <w:rFonts w:ascii="Calibri" w:hAnsi="Calibri"/>
          <w:sz w:val="22"/>
          <w:szCs w:val="22"/>
          <w:lang w:val="tr-TR"/>
        </w:rPr>
        <w:t>.</w:t>
      </w:r>
    </w:p>
    <w:p w:rsidR="00243169" w:rsidRPr="00DE7441" w:rsidRDefault="00243169" w:rsidP="00780BAD">
      <w:pPr>
        <w:rPr>
          <w:rFonts w:ascii="Calibri" w:hAnsi="Calibri"/>
          <w:sz w:val="22"/>
          <w:szCs w:val="22"/>
          <w:lang w:val="tr-TR"/>
        </w:rPr>
      </w:pPr>
    </w:p>
    <w:p w:rsidR="00243169" w:rsidRPr="00DE7441" w:rsidRDefault="00243169" w:rsidP="002130BE">
      <w:pPr>
        <w:pStyle w:val="Balk2"/>
        <w:rPr>
          <w:lang w:val="tr-TR"/>
        </w:rPr>
      </w:pPr>
      <w:bookmarkStart w:id="14" w:name="_Toc341526736"/>
      <w:r w:rsidRPr="00DE7441">
        <w:rPr>
          <w:lang w:val="tr-TR"/>
        </w:rPr>
        <w:t>E. Kişisel kapsam – Şahsa yönelik mevzuat</w:t>
      </w:r>
      <w:bookmarkEnd w:id="14"/>
    </w:p>
    <w:p w:rsidR="00243169" w:rsidRPr="00DE7441" w:rsidRDefault="00243169" w:rsidP="00243169">
      <w:pPr>
        <w:rPr>
          <w:rFonts w:ascii="Calibri" w:hAnsi="Calibri"/>
          <w:b/>
          <w:sz w:val="22"/>
          <w:szCs w:val="22"/>
          <w:lang w:val="tr-TR"/>
        </w:rPr>
      </w:pPr>
    </w:p>
    <w:p w:rsidR="00243169" w:rsidRPr="00DE7441" w:rsidRDefault="00243169" w:rsidP="00243169">
      <w:pPr>
        <w:rPr>
          <w:rFonts w:ascii="Calibri" w:hAnsi="Calibri"/>
          <w:sz w:val="22"/>
          <w:szCs w:val="22"/>
          <w:lang w:val="tr-TR"/>
        </w:rPr>
      </w:pPr>
      <w:r w:rsidRPr="00DE7441">
        <w:rPr>
          <w:rFonts w:ascii="Calibri" w:hAnsi="Calibri"/>
          <w:sz w:val="22"/>
          <w:szCs w:val="22"/>
          <w:lang w:val="tr-TR"/>
        </w:rPr>
        <w:t xml:space="preserve">73. </w:t>
      </w:r>
      <w:r w:rsidR="00721915" w:rsidRPr="00DE7441">
        <w:rPr>
          <w:rFonts w:ascii="Calibri" w:hAnsi="Calibri"/>
          <w:sz w:val="22"/>
          <w:szCs w:val="22"/>
          <w:lang w:val="tr-TR"/>
        </w:rPr>
        <w:t xml:space="preserve">İncelenen Anayasa değişikliği şahsa yönelik anayasal mevzuat olarak nitelendirilebilir. Değişiklik genel tabirler kullanılarak hazırlanmış olsa da, gerçekte tek tek kim oldukları bilinen 139 milletvekili ile ilgilidir. Bu durum, anayasa değişikliği </w:t>
      </w:r>
      <w:proofErr w:type="gramStart"/>
      <w:r w:rsidR="00721915" w:rsidRPr="00DE7441">
        <w:rPr>
          <w:rFonts w:ascii="Calibri" w:hAnsi="Calibri"/>
          <w:sz w:val="22"/>
          <w:szCs w:val="22"/>
          <w:lang w:val="tr-TR"/>
        </w:rPr>
        <w:t>prosedürünün</w:t>
      </w:r>
      <w:proofErr w:type="gramEnd"/>
      <w:r w:rsidR="00721915" w:rsidRPr="00DE7441">
        <w:rPr>
          <w:rFonts w:ascii="Calibri" w:hAnsi="Calibri"/>
          <w:sz w:val="22"/>
          <w:szCs w:val="22"/>
          <w:lang w:val="tr-TR"/>
        </w:rPr>
        <w:t xml:space="preserve"> kötüye kullanılması anlamına gelir: esas bakımından değişiklik, kimlikleri bilinen milletvekillerinin dokunulmazlıklarının kaldırılmasına yönelik </w:t>
      </w:r>
      <w:r w:rsidR="00DA46DA" w:rsidRPr="00DE7441">
        <w:rPr>
          <w:rFonts w:ascii="Calibri" w:hAnsi="Calibri"/>
          <w:sz w:val="22"/>
          <w:szCs w:val="22"/>
          <w:lang w:val="tr-TR"/>
        </w:rPr>
        <w:t>toplu bir</w:t>
      </w:r>
      <w:r w:rsidR="00721915" w:rsidRPr="00DE7441">
        <w:rPr>
          <w:rFonts w:ascii="Calibri" w:hAnsi="Calibri"/>
          <w:sz w:val="22"/>
          <w:szCs w:val="22"/>
          <w:lang w:val="tr-TR"/>
        </w:rPr>
        <w:t xml:space="preserve"> </w:t>
      </w:r>
      <w:proofErr w:type="spellStart"/>
      <w:r w:rsidR="00721915" w:rsidRPr="00DE7441">
        <w:rPr>
          <w:rFonts w:ascii="Calibri" w:hAnsi="Calibri"/>
          <w:sz w:val="22"/>
          <w:szCs w:val="22"/>
          <w:lang w:val="tr-TR"/>
        </w:rPr>
        <w:t>karar</w:t>
      </w:r>
      <w:r w:rsidR="009079DA" w:rsidRPr="00DE7441">
        <w:rPr>
          <w:rFonts w:ascii="Calibri" w:hAnsi="Calibri"/>
          <w:sz w:val="22"/>
          <w:szCs w:val="22"/>
          <w:lang w:val="tr-TR"/>
        </w:rPr>
        <w:t>anlamına</w:t>
      </w:r>
      <w:proofErr w:type="spellEnd"/>
      <w:r w:rsidR="009079DA" w:rsidRPr="00DE7441">
        <w:rPr>
          <w:rFonts w:ascii="Calibri" w:hAnsi="Calibri"/>
          <w:sz w:val="22"/>
          <w:szCs w:val="22"/>
          <w:lang w:val="tr-TR"/>
        </w:rPr>
        <w:t xml:space="preserve"> gelmektedir; bu kararlar, askıya alınan 83. Maddeye göre, tek tek alınmış olmalı</w:t>
      </w:r>
      <w:r w:rsidR="00DA46DA" w:rsidRPr="00DE7441">
        <w:rPr>
          <w:rFonts w:ascii="Calibri" w:hAnsi="Calibri"/>
          <w:sz w:val="22"/>
          <w:szCs w:val="22"/>
          <w:lang w:val="tr-TR"/>
        </w:rPr>
        <w:t>ydı ve belli güvencelere tabi olmalıydı</w:t>
      </w:r>
      <w:r w:rsidRPr="00DE7441">
        <w:rPr>
          <w:rFonts w:ascii="Calibri" w:hAnsi="Calibri"/>
          <w:sz w:val="22"/>
          <w:szCs w:val="22"/>
          <w:lang w:val="tr-TR"/>
        </w:rPr>
        <w:t>.</w:t>
      </w:r>
    </w:p>
    <w:p w:rsidR="00DA46DA" w:rsidRPr="00DE7441" w:rsidRDefault="00DA46DA" w:rsidP="00243169">
      <w:pPr>
        <w:rPr>
          <w:rFonts w:ascii="Calibri" w:hAnsi="Calibri"/>
          <w:sz w:val="22"/>
          <w:szCs w:val="22"/>
          <w:lang w:val="tr-TR"/>
        </w:rPr>
      </w:pPr>
    </w:p>
    <w:p w:rsidR="00243169" w:rsidRPr="00DE7441" w:rsidRDefault="00243169" w:rsidP="00243169">
      <w:pPr>
        <w:rPr>
          <w:rFonts w:ascii="Calibri" w:hAnsi="Calibri"/>
          <w:sz w:val="22"/>
          <w:szCs w:val="22"/>
          <w:lang w:val="tr-TR"/>
        </w:rPr>
      </w:pPr>
      <w:r w:rsidRPr="00DE7441">
        <w:rPr>
          <w:rFonts w:ascii="Calibri" w:hAnsi="Calibri"/>
          <w:sz w:val="22"/>
          <w:szCs w:val="22"/>
          <w:lang w:val="tr-TR"/>
        </w:rPr>
        <w:t xml:space="preserve">74. </w:t>
      </w:r>
      <w:r w:rsidR="00DA46DA" w:rsidRPr="00DE7441">
        <w:rPr>
          <w:rFonts w:ascii="Calibri" w:hAnsi="Calibri"/>
          <w:sz w:val="22"/>
          <w:szCs w:val="22"/>
          <w:lang w:val="tr-TR"/>
        </w:rPr>
        <w:t xml:space="preserve">Anayasa Mahkemesi’nin 2016/117 Sayılı kararı bu değerlendirmeye ters düşmemektedir. Mahkeme, Anayasa’nın 85. Maddesi kapsamında yapılan başvuruyu reddetmek zorunda olduğunu zira 12 Nisan 2016 tarihinde kabul edilen kanunu şekil itibariyle Anayasa’nın 148. Maddesi kapsamından denetlenemeyecek bir anayasa değişikliği olarak ele alması gerektiğini ileri sürmüştür. Anayasa’nın 148. Maddesi kapsamında bir denetim Mahkemeye başvuru yapılmadığı için yürütülmemiştir. </w:t>
      </w:r>
    </w:p>
    <w:p w:rsidR="00DA46DA" w:rsidRPr="00DE7441" w:rsidRDefault="00DA46DA" w:rsidP="00243169">
      <w:pPr>
        <w:rPr>
          <w:rFonts w:ascii="Calibri" w:hAnsi="Calibri"/>
          <w:sz w:val="22"/>
          <w:szCs w:val="22"/>
          <w:lang w:val="tr-TR"/>
        </w:rPr>
      </w:pPr>
    </w:p>
    <w:p w:rsidR="00DA46DA" w:rsidRPr="00DE7441" w:rsidRDefault="00DA46DA" w:rsidP="002130BE">
      <w:pPr>
        <w:pStyle w:val="Balk2"/>
        <w:rPr>
          <w:lang w:val="tr-TR"/>
        </w:rPr>
      </w:pPr>
      <w:bookmarkStart w:id="15" w:name="_Toc341526737"/>
      <w:r w:rsidRPr="00DE7441">
        <w:rPr>
          <w:lang w:val="tr-TR"/>
        </w:rPr>
        <w:t xml:space="preserve">F. </w:t>
      </w:r>
      <w:r w:rsidR="00B33395" w:rsidRPr="00DE7441">
        <w:rPr>
          <w:lang w:val="tr-TR"/>
        </w:rPr>
        <w:t>Eşitlik</w:t>
      </w:r>
      <w:bookmarkEnd w:id="15"/>
    </w:p>
    <w:p w:rsidR="00B33395" w:rsidRPr="00DE7441" w:rsidRDefault="00B33395" w:rsidP="00DA46DA">
      <w:pPr>
        <w:rPr>
          <w:rFonts w:ascii="Calibri" w:hAnsi="Calibri"/>
          <w:b/>
          <w:sz w:val="22"/>
          <w:szCs w:val="22"/>
          <w:lang w:val="tr-TR"/>
        </w:rPr>
      </w:pPr>
    </w:p>
    <w:p w:rsidR="00160678" w:rsidRPr="00DE7441" w:rsidRDefault="00DA46DA" w:rsidP="00DA46DA">
      <w:pPr>
        <w:rPr>
          <w:rFonts w:ascii="Calibri" w:hAnsi="Calibri"/>
          <w:sz w:val="22"/>
          <w:szCs w:val="22"/>
          <w:lang w:val="tr-TR"/>
        </w:rPr>
      </w:pPr>
      <w:r w:rsidRPr="00DE7441">
        <w:rPr>
          <w:rFonts w:ascii="Calibri" w:hAnsi="Calibri"/>
          <w:sz w:val="22"/>
          <w:szCs w:val="22"/>
          <w:lang w:val="tr-TR"/>
        </w:rPr>
        <w:t xml:space="preserve">75. </w:t>
      </w:r>
      <w:r w:rsidR="000A19CF" w:rsidRPr="00DE7441">
        <w:rPr>
          <w:rFonts w:ascii="Calibri" w:hAnsi="Calibri"/>
          <w:sz w:val="22"/>
          <w:szCs w:val="22"/>
          <w:lang w:val="tr-TR"/>
        </w:rPr>
        <w:t xml:space="preserve">Şahsa yönelik her türlü mevzuatta olduğu gibi, </w:t>
      </w:r>
      <w:r w:rsidR="00160678" w:rsidRPr="00DE7441">
        <w:rPr>
          <w:rFonts w:ascii="Calibri" w:hAnsi="Calibri"/>
          <w:sz w:val="22"/>
          <w:szCs w:val="22"/>
          <w:lang w:val="tr-TR"/>
        </w:rPr>
        <w:t xml:space="preserve">Değişiklik eşitlik ilkesi açısından da sorunludur. 139 milletvekiliyle bundan önce gündeme gelen tüm dosyaların yanı sıra Değişikliğin kabul edilmesinden bu güne </w:t>
      </w:r>
      <w:r w:rsidR="00DE7441" w:rsidRPr="00DE7441">
        <w:rPr>
          <w:rFonts w:ascii="Calibri" w:hAnsi="Calibri"/>
          <w:sz w:val="22"/>
          <w:szCs w:val="22"/>
          <w:lang w:val="tr-TR"/>
        </w:rPr>
        <w:t>çıkarılan</w:t>
      </w:r>
      <w:r w:rsidR="00160678" w:rsidRPr="00DE7441">
        <w:rPr>
          <w:rFonts w:ascii="Calibri" w:hAnsi="Calibri"/>
          <w:sz w:val="22"/>
          <w:szCs w:val="22"/>
          <w:lang w:val="tr-TR"/>
        </w:rPr>
        <w:t xml:space="preserve"> fezlekeler arasında bu türden bir ayrım yapmak için Meclis’in </w:t>
      </w:r>
      <w:r w:rsidR="00DE7441" w:rsidRPr="00DE7441">
        <w:rPr>
          <w:rFonts w:ascii="Calibri" w:hAnsi="Calibri"/>
          <w:sz w:val="22"/>
          <w:szCs w:val="22"/>
          <w:lang w:val="tr-TR"/>
        </w:rPr>
        <w:t>iş yükü</w:t>
      </w:r>
      <w:r w:rsidR="00160678" w:rsidRPr="00DE7441">
        <w:rPr>
          <w:rFonts w:ascii="Calibri" w:hAnsi="Calibri"/>
          <w:sz w:val="22"/>
          <w:szCs w:val="22"/>
          <w:lang w:val="tr-TR"/>
        </w:rPr>
        <w:t xml:space="preserve"> gerekçe gösterilemez. Bu nedenle Değişiklik eşitlik ilkesini ihlal etmektedir. </w:t>
      </w:r>
    </w:p>
    <w:p w:rsidR="00B33395" w:rsidRPr="00DE7441" w:rsidRDefault="00B33395" w:rsidP="00DA46DA">
      <w:pPr>
        <w:rPr>
          <w:rFonts w:ascii="Calibri" w:hAnsi="Calibri"/>
          <w:sz w:val="22"/>
          <w:szCs w:val="22"/>
          <w:lang w:val="tr-TR"/>
        </w:rPr>
      </w:pPr>
    </w:p>
    <w:p w:rsidR="00D30E92" w:rsidRDefault="00DA46DA" w:rsidP="00CF5273">
      <w:pPr>
        <w:rPr>
          <w:rFonts w:ascii="Calibri" w:hAnsi="Calibri"/>
          <w:sz w:val="22"/>
          <w:szCs w:val="22"/>
          <w:lang w:val="tr-TR"/>
        </w:rPr>
      </w:pPr>
      <w:r w:rsidRPr="00DE7441">
        <w:rPr>
          <w:rFonts w:ascii="Calibri" w:hAnsi="Calibri"/>
          <w:sz w:val="22"/>
          <w:szCs w:val="22"/>
          <w:lang w:val="tr-TR"/>
        </w:rPr>
        <w:t xml:space="preserve">76. </w:t>
      </w:r>
      <w:r w:rsidR="00CF5273" w:rsidRPr="00DE7441">
        <w:rPr>
          <w:rFonts w:ascii="Calibri" w:hAnsi="Calibri"/>
          <w:sz w:val="22"/>
          <w:szCs w:val="22"/>
          <w:lang w:val="tr-TR"/>
        </w:rPr>
        <w:t xml:space="preserve">Çoğunluk partisine dokunulmazlıkların geçici usulle kaldırılmasından sonra yeni dosyalar için normal usulün uygulanıp uygulanmayacağının sorulması üzerine, heyete yeni fezlekelere bakılmayacağını, milletvekillerinin görev süresi bittikten sonra yargılama yapılabileceği söylenmiştir.  Bu durumda, Değişiklikle dokunulmazlıkları kaldırılan </w:t>
      </w:r>
      <w:r w:rsidR="00DE7441" w:rsidRPr="00DE7441">
        <w:rPr>
          <w:rFonts w:ascii="Calibri" w:hAnsi="Calibri"/>
          <w:sz w:val="22"/>
          <w:szCs w:val="22"/>
          <w:lang w:val="tr-TR"/>
        </w:rPr>
        <w:t>milletvekilleriyle</w:t>
      </w:r>
      <w:r w:rsidR="00CF5273" w:rsidRPr="00DE7441">
        <w:rPr>
          <w:rFonts w:ascii="Calibri" w:hAnsi="Calibri"/>
          <w:sz w:val="22"/>
          <w:szCs w:val="22"/>
          <w:lang w:val="tr-TR"/>
        </w:rPr>
        <w:t xml:space="preserve"> davaları sonra görülecek milletvekillerine yapılan muameledeki fark fiilen daha da büyüktür. 139 milletvekili için dokunulmazlıklar bireysel </w:t>
      </w:r>
      <w:proofErr w:type="gramStart"/>
      <w:r w:rsidR="00CF5273" w:rsidRPr="00DE7441">
        <w:rPr>
          <w:rFonts w:ascii="Calibri" w:hAnsi="Calibri"/>
          <w:sz w:val="22"/>
          <w:szCs w:val="22"/>
          <w:lang w:val="tr-TR"/>
        </w:rPr>
        <w:t>prosedür</w:t>
      </w:r>
      <w:proofErr w:type="gramEnd"/>
      <w:r w:rsidR="00CF5273" w:rsidRPr="00DE7441">
        <w:rPr>
          <w:rFonts w:ascii="Calibri" w:hAnsi="Calibri"/>
          <w:sz w:val="22"/>
          <w:szCs w:val="22"/>
          <w:lang w:val="tr-TR"/>
        </w:rPr>
        <w:t xml:space="preserve"> uygulanmadan kaldırılırken yeni dosyalarda dokunulmazlık</w:t>
      </w:r>
      <w:r w:rsidR="00C020AD" w:rsidRPr="00DE7441">
        <w:rPr>
          <w:rFonts w:ascii="Calibri" w:hAnsi="Calibri"/>
          <w:sz w:val="22"/>
          <w:szCs w:val="22"/>
          <w:lang w:val="tr-TR"/>
        </w:rPr>
        <w:t xml:space="preserve">ların kaldırılması konusu büyük ihtimalle hiç ele alınmayacaktır ve ilgili milletvekilleri görev süreleri boyunca koruma kalkanından tamamen yararlanacaktır. </w:t>
      </w:r>
    </w:p>
    <w:p w:rsidR="00F16033" w:rsidRDefault="00D30E92">
      <w:pPr>
        <w:rPr>
          <w:rFonts w:ascii="Calibri" w:hAnsi="Calibri"/>
          <w:sz w:val="22"/>
          <w:szCs w:val="22"/>
          <w:lang w:val="tr-TR"/>
        </w:rPr>
        <w:sectPr w:rsidR="00F16033" w:rsidSect="000D6A4B">
          <w:headerReference w:type="default" r:id="rId10"/>
          <w:footerReference w:type="even" r:id="rId11"/>
          <w:footerReference w:type="default" r:id="rId12"/>
          <w:footerReference w:type="first" r:id="rId13"/>
          <w:pgSz w:w="12240" w:h="15840"/>
          <w:pgMar w:top="1440" w:right="1800" w:bottom="1440" w:left="1800" w:header="720" w:footer="720" w:gutter="0"/>
          <w:cols w:space="720"/>
          <w:noEndnote/>
          <w:titlePg/>
        </w:sectPr>
      </w:pPr>
      <w:r>
        <w:rPr>
          <w:rFonts w:ascii="Calibri" w:hAnsi="Calibri"/>
          <w:sz w:val="22"/>
          <w:szCs w:val="22"/>
          <w:lang w:val="tr-TR"/>
        </w:rPr>
        <w:br w:type="page"/>
      </w:r>
    </w:p>
    <w:p w:rsidR="00C020AD" w:rsidRPr="00DE7441" w:rsidRDefault="00C020AD" w:rsidP="002130BE">
      <w:pPr>
        <w:pStyle w:val="Balk1"/>
      </w:pPr>
      <w:bookmarkStart w:id="16" w:name="_Toc341526738"/>
      <w:r w:rsidRPr="00DE7441">
        <w:lastRenderedPageBreak/>
        <w:t>VIII. Sonuçlar </w:t>
      </w:r>
      <w:bookmarkEnd w:id="16"/>
    </w:p>
    <w:p w:rsidR="00C020AD" w:rsidRPr="00DE7441" w:rsidRDefault="00C020AD" w:rsidP="00C020AD">
      <w:pPr>
        <w:rPr>
          <w:rFonts w:ascii="Calibri" w:hAnsi="Calibri"/>
          <w:sz w:val="22"/>
          <w:szCs w:val="22"/>
          <w:lang w:val="tr-TR"/>
        </w:rPr>
      </w:pPr>
    </w:p>
    <w:p w:rsidR="00C020AD" w:rsidRPr="00DE7441" w:rsidRDefault="00C020AD" w:rsidP="00C020AD">
      <w:pPr>
        <w:rPr>
          <w:rFonts w:ascii="Calibri" w:hAnsi="Calibri"/>
          <w:sz w:val="22"/>
          <w:szCs w:val="22"/>
          <w:lang w:val="tr-TR"/>
        </w:rPr>
      </w:pPr>
      <w:r w:rsidRPr="00DE7441">
        <w:rPr>
          <w:rFonts w:ascii="Calibri" w:hAnsi="Calibri"/>
          <w:sz w:val="22"/>
          <w:szCs w:val="22"/>
          <w:lang w:val="tr-TR"/>
        </w:rPr>
        <w:t xml:space="preserve">77. </w:t>
      </w:r>
      <w:r w:rsidR="004329B0" w:rsidRPr="00DE7441">
        <w:rPr>
          <w:rFonts w:ascii="Calibri" w:hAnsi="Calibri"/>
          <w:sz w:val="22"/>
          <w:szCs w:val="22"/>
          <w:lang w:val="tr-TR"/>
        </w:rPr>
        <w:t>Venedik Komisyonu Değişikliğin yasama dokunulmazlığının temel unsurlarından biri olan yasama sorumsuzluğunu kaldırmamış olmasından dolayı memnuniyetini bildirmektedir</w:t>
      </w:r>
      <w:r w:rsidRPr="00DE7441">
        <w:rPr>
          <w:rFonts w:ascii="Calibri" w:hAnsi="Calibri"/>
          <w:sz w:val="22"/>
          <w:szCs w:val="22"/>
          <w:lang w:val="tr-TR"/>
        </w:rPr>
        <w:t>.</w:t>
      </w:r>
    </w:p>
    <w:p w:rsidR="004329B0" w:rsidRPr="00DE7441" w:rsidRDefault="004329B0" w:rsidP="00C020AD">
      <w:pPr>
        <w:rPr>
          <w:rFonts w:ascii="Calibri" w:hAnsi="Calibri"/>
          <w:sz w:val="22"/>
          <w:szCs w:val="22"/>
          <w:lang w:val="tr-TR"/>
        </w:rPr>
      </w:pPr>
    </w:p>
    <w:p w:rsidR="00C020AD" w:rsidRPr="00DE7441" w:rsidRDefault="00C020AD" w:rsidP="00C020AD">
      <w:pPr>
        <w:rPr>
          <w:rFonts w:ascii="Calibri" w:hAnsi="Calibri"/>
          <w:sz w:val="22"/>
          <w:szCs w:val="22"/>
          <w:lang w:val="tr-TR"/>
        </w:rPr>
      </w:pPr>
      <w:r w:rsidRPr="00DE7441">
        <w:rPr>
          <w:rFonts w:ascii="Calibri" w:hAnsi="Calibri"/>
          <w:sz w:val="22"/>
          <w:szCs w:val="22"/>
          <w:lang w:val="tr-TR"/>
        </w:rPr>
        <w:t xml:space="preserve">78. </w:t>
      </w:r>
      <w:r w:rsidR="004329B0" w:rsidRPr="00DE7441">
        <w:rPr>
          <w:rFonts w:ascii="Calibri" w:hAnsi="Calibri"/>
          <w:sz w:val="22"/>
          <w:szCs w:val="22"/>
          <w:lang w:val="tr-TR"/>
        </w:rPr>
        <w:t>Ancak, söz konusu Milletvekillerinin dokunulmazlıkları iade edilmelidir</w:t>
      </w:r>
      <w:r w:rsidRPr="00DE7441">
        <w:rPr>
          <w:rFonts w:ascii="Calibri" w:hAnsi="Calibri"/>
          <w:sz w:val="22"/>
          <w:szCs w:val="22"/>
          <w:lang w:val="tr-TR"/>
        </w:rPr>
        <w:t xml:space="preserve">. </w:t>
      </w:r>
      <w:r w:rsidR="004329B0" w:rsidRPr="00DE7441">
        <w:rPr>
          <w:rFonts w:ascii="Calibri" w:hAnsi="Calibri"/>
          <w:sz w:val="22"/>
          <w:szCs w:val="22"/>
          <w:lang w:val="tr-TR"/>
        </w:rPr>
        <w:t>Venedik Komisyonu’na göre, Türkiye’deki mevcut durumda yasama dokunulmazlığı meclisin işlemesinin temel güvencesidir. Türkiye Büyük Millet Meclisi, bir kurucu iktidar olarak, dokunulmazlığın gelecekteki dosyalara ilişkin koruyarak bu durumu teyit etmiştir. Türkiye yargısındaki mevcut durum gözetildiğinde, dokunulmazlıkların kaldırılması için olabilecek en kötü zaman seçilmiştir.</w:t>
      </w:r>
    </w:p>
    <w:p w:rsidR="004329B0" w:rsidRPr="00DE7441" w:rsidRDefault="004329B0" w:rsidP="00C020AD">
      <w:pPr>
        <w:rPr>
          <w:rFonts w:ascii="Calibri" w:hAnsi="Calibri"/>
          <w:sz w:val="22"/>
          <w:szCs w:val="22"/>
          <w:lang w:val="tr-TR"/>
        </w:rPr>
      </w:pPr>
    </w:p>
    <w:p w:rsidR="00C020AD" w:rsidRPr="00DE7441" w:rsidRDefault="00C020AD" w:rsidP="00F738E4">
      <w:pPr>
        <w:rPr>
          <w:rFonts w:ascii="Calibri" w:hAnsi="Calibri"/>
          <w:sz w:val="22"/>
          <w:szCs w:val="22"/>
          <w:lang w:val="tr-TR"/>
        </w:rPr>
      </w:pPr>
      <w:r w:rsidRPr="00DE7441">
        <w:rPr>
          <w:rFonts w:ascii="Calibri" w:hAnsi="Calibri"/>
          <w:sz w:val="22"/>
          <w:szCs w:val="22"/>
          <w:lang w:val="tr-TR"/>
        </w:rPr>
        <w:t xml:space="preserve">79. </w:t>
      </w:r>
      <w:r w:rsidR="004329B0" w:rsidRPr="00DE7441">
        <w:rPr>
          <w:rFonts w:ascii="Calibri" w:hAnsi="Calibri"/>
          <w:sz w:val="22"/>
          <w:szCs w:val="22"/>
          <w:lang w:val="tr-TR"/>
        </w:rPr>
        <w:t xml:space="preserve">Ayrıca, bu </w:t>
      </w:r>
      <w:r w:rsidR="00DE7441" w:rsidRPr="00DE7441">
        <w:rPr>
          <w:rFonts w:ascii="Calibri" w:hAnsi="Calibri"/>
          <w:sz w:val="22"/>
          <w:szCs w:val="22"/>
          <w:lang w:val="tr-TR"/>
        </w:rPr>
        <w:t>istisna</w:t>
      </w:r>
      <w:r w:rsidR="004329B0" w:rsidRPr="00DE7441">
        <w:rPr>
          <w:rFonts w:ascii="Calibri" w:hAnsi="Calibri"/>
          <w:sz w:val="22"/>
          <w:szCs w:val="22"/>
          <w:lang w:val="tr-TR"/>
        </w:rPr>
        <w:t xml:space="preserve"> ile ilişkili fezlekelerin çoğu milletvekillerinin ifade özgürlüğü ile ilgilidir. Milletvekillerinin ifade özgürlüğü demokrasinin temel unsurudur. Milletvekillerinin ifade özgürlüğünün geniş tutulması gerekir ve Meclis dışında konuştuklarında da bu korumadan yararlanmalıdırlar </w:t>
      </w:r>
      <w:r w:rsidR="009A7F75" w:rsidRPr="00DE7441">
        <w:rPr>
          <w:rFonts w:ascii="Calibri" w:hAnsi="Calibri"/>
          <w:sz w:val="22"/>
          <w:szCs w:val="22"/>
          <w:lang w:val="tr-TR"/>
        </w:rPr>
        <w:t xml:space="preserve">Bölgesel özyönetim gibi şiddet içermeyen siyasi amaçlara şiddet içermeyen yollarla ulaşmaya çalışmak ceza yargılamasının konusu olamaz. </w:t>
      </w:r>
      <w:r w:rsidR="007D76CE" w:rsidRPr="00DE7441">
        <w:rPr>
          <w:rFonts w:ascii="Calibri" w:hAnsi="Calibri"/>
          <w:sz w:val="22"/>
          <w:szCs w:val="22"/>
          <w:lang w:val="tr-TR"/>
        </w:rPr>
        <w:t xml:space="preserve">Rahatsız edici ifadelerin (Cumhurbaşkanına, kamu görevlilerine, Millete, Cumhuriyete vb. karşı söylemler) genel olarak </w:t>
      </w:r>
      <w:r w:rsidR="00DE7441" w:rsidRPr="00DE7441">
        <w:rPr>
          <w:rFonts w:ascii="Calibri" w:hAnsi="Calibri"/>
          <w:sz w:val="22"/>
          <w:szCs w:val="22"/>
          <w:lang w:val="tr-TR"/>
        </w:rPr>
        <w:t>hoş görülmesi</w:t>
      </w:r>
      <w:r w:rsidR="007D76CE" w:rsidRPr="00DE7441">
        <w:rPr>
          <w:rFonts w:ascii="Calibri" w:hAnsi="Calibri"/>
          <w:sz w:val="22"/>
          <w:szCs w:val="22"/>
          <w:lang w:val="tr-TR"/>
        </w:rPr>
        <w:t xml:space="preserve"> gerekir ancak özellikle Milletvekilleri tarafından ifade edildiğinde hoşgörüyle ele alınmalıdır. İfade özgürlüğüne getirilecek kısıtlamaların dar yorumlanması gerekir</w:t>
      </w:r>
      <w:r w:rsidRPr="00DE7441">
        <w:rPr>
          <w:rFonts w:ascii="Calibri" w:hAnsi="Calibri"/>
          <w:sz w:val="22"/>
          <w:szCs w:val="22"/>
          <w:lang w:val="tr-TR"/>
        </w:rPr>
        <w:t xml:space="preserve">. </w:t>
      </w:r>
      <w:r w:rsidR="007D76CE" w:rsidRPr="00DE7441">
        <w:rPr>
          <w:rFonts w:ascii="Calibri" w:hAnsi="Calibri"/>
          <w:sz w:val="22"/>
          <w:szCs w:val="22"/>
          <w:lang w:val="tr-TR"/>
        </w:rPr>
        <w:t xml:space="preserve">Ancak şiddet </w:t>
      </w:r>
      <w:r w:rsidR="00DE7441" w:rsidRPr="00DE7441">
        <w:rPr>
          <w:rFonts w:ascii="Calibri" w:hAnsi="Calibri"/>
          <w:sz w:val="22"/>
          <w:szCs w:val="22"/>
          <w:lang w:val="tr-TR"/>
        </w:rPr>
        <w:t>çağrıları</w:t>
      </w:r>
      <w:r w:rsidR="007D76CE" w:rsidRPr="00DE7441">
        <w:rPr>
          <w:rFonts w:ascii="Calibri" w:hAnsi="Calibri"/>
          <w:sz w:val="22"/>
          <w:szCs w:val="22"/>
          <w:lang w:val="tr-TR"/>
        </w:rPr>
        <w:t xml:space="preserve"> içeren veya şiddetin faillerini doğrudan destekleyen ifadeler ceza yargılamasına yol açabilir. Avrupa İnsan Hakları Mahkemesi’nin içtihadı Türkiye’nin ifade </w:t>
      </w:r>
      <w:r w:rsidR="00DE7441" w:rsidRPr="00DE7441">
        <w:rPr>
          <w:rFonts w:ascii="Calibri" w:hAnsi="Calibri"/>
          <w:sz w:val="22"/>
          <w:szCs w:val="22"/>
          <w:lang w:val="tr-TR"/>
        </w:rPr>
        <w:t>özgürlüğünü</w:t>
      </w:r>
      <w:r w:rsidR="007D76CE" w:rsidRPr="00DE7441">
        <w:rPr>
          <w:rFonts w:ascii="Calibri" w:hAnsi="Calibri"/>
          <w:sz w:val="22"/>
          <w:szCs w:val="22"/>
          <w:lang w:val="tr-TR"/>
        </w:rPr>
        <w:t xml:space="preserve"> güvence altına alma konusunda problemli olduğunu göstermektedir, özellikle de terör propagandası olarak görülen davalarda. Bunun nedeni kısmen, Türk Ceza Kanunu’nun 216, 299, 301 ve 314. Maddeleri ile </w:t>
      </w:r>
      <w:r w:rsidR="00DE7441" w:rsidRPr="00DE7441">
        <w:rPr>
          <w:rFonts w:ascii="Calibri" w:hAnsi="Calibri"/>
          <w:sz w:val="22"/>
          <w:szCs w:val="22"/>
          <w:lang w:val="tr-TR"/>
        </w:rPr>
        <w:t>ilgili</w:t>
      </w:r>
      <w:r w:rsidR="007D76CE" w:rsidRPr="00DE7441">
        <w:rPr>
          <w:rFonts w:ascii="Calibri" w:hAnsi="Calibri"/>
          <w:sz w:val="22"/>
          <w:szCs w:val="22"/>
          <w:lang w:val="tr-TR"/>
        </w:rPr>
        <w:t xml:space="preserve"> Mart 2016 tarihli CDL-AD(2016)002 Sayılı Görüş’te de açıklandığı üzere, </w:t>
      </w:r>
      <w:r w:rsidR="00F738E4" w:rsidRPr="00DE7441">
        <w:rPr>
          <w:rFonts w:ascii="Calibri" w:hAnsi="Calibri"/>
          <w:sz w:val="22"/>
          <w:szCs w:val="22"/>
          <w:lang w:val="tr-TR"/>
        </w:rPr>
        <w:t xml:space="preserve">Ceza Kanunu’nun bazı hükümlerinin kapsamının fazla geniş olmasıdır. Bu durum ifade özgürlüğünü genel olarak tehdit ederken özel olarak Milletvekillerinin de ifade özgürlüğünü görünür şekilde tehlikeye atmaktadır.  </w:t>
      </w:r>
    </w:p>
    <w:p w:rsidR="002D1783" w:rsidRPr="00DE7441" w:rsidRDefault="002D1783" w:rsidP="00F738E4">
      <w:pPr>
        <w:rPr>
          <w:rFonts w:ascii="Calibri" w:hAnsi="Calibri"/>
          <w:sz w:val="22"/>
          <w:szCs w:val="22"/>
          <w:lang w:val="tr-TR"/>
        </w:rPr>
      </w:pPr>
    </w:p>
    <w:p w:rsidR="002D1783" w:rsidRPr="00DE7441" w:rsidRDefault="002D1783" w:rsidP="002D1783">
      <w:pPr>
        <w:rPr>
          <w:rFonts w:ascii="Calibri" w:hAnsi="Calibri"/>
          <w:sz w:val="22"/>
          <w:szCs w:val="22"/>
          <w:lang w:val="tr-TR"/>
        </w:rPr>
      </w:pPr>
      <w:r w:rsidRPr="00DE7441">
        <w:rPr>
          <w:rFonts w:ascii="Calibri" w:hAnsi="Calibri"/>
          <w:sz w:val="22"/>
          <w:szCs w:val="22"/>
          <w:lang w:val="tr-TR"/>
        </w:rPr>
        <w:t xml:space="preserve">80. </w:t>
      </w:r>
      <w:r w:rsidR="002233A2" w:rsidRPr="00DE7441">
        <w:rPr>
          <w:rFonts w:ascii="Calibri" w:hAnsi="Calibri"/>
          <w:sz w:val="22"/>
          <w:szCs w:val="22"/>
          <w:lang w:val="tr-TR"/>
        </w:rPr>
        <w:t xml:space="preserve">12 </w:t>
      </w:r>
      <w:r w:rsidR="00DE7441">
        <w:rPr>
          <w:rFonts w:ascii="Calibri" w:hAnsi="Calibri"/>
          <w:sz w:val="22"/>
          <w:szCs w:val="22"/>
          <w:lang w:val="tr-TR"/>
        </w:rPr>
        <w:t>N</w:t>
      </w:r>
      <w:r w:rsidR="00DE7441" w:rsidRPr="00DE7441">
        <w:rPr>
          <w:rFonts w:ascii="Calibri" w:hAnsi="Calibri"/>
          <w:sz w:val="22"/>
          <w:szCs w:val="22"/>
          <w:lang w:val="tr-TR"/>
        </w:rPr>
        <w:t>isan</w:t>
      </w:r>
      <w:r w:rsidR="002233A2" w:rsidRPr="00DE7441">
        <w:rPr>
          <w:rFonts w:ascii="Calibri" w:hAnsi="Calibri"/>
          <w:sz w:val="22"/>
          <w:szCs w:val="22"/>
          <w:lang w:val="tr-TR"/>
        </w:rPr>
        <w:t xml:space="preserve"> 2016 tarihli Anayasa Değişikliği Meclis’te </w:t>
      </w:r>
      <w:proofErr w:type="gramStart"/>
      <w:r w:rsidR="002233A2" w:rsidRPr="00DE7441">
        <w:rPr>
          <w:rFonts w:ascii="Calibri" w:hAnsi="Calibri"/>
          <w:sz w:val="22"/>
          <w:szCs w:val="22"/>
          <w:lang w:val="tr-TR"/>
        </w:rPr>
        <w:t>halihazırda</w:t>
      </w:r>
      <w:proofErr w:type="gramEnd"/>
      <w:r w:rsidR="002233A2" w:rsidRPr="00DE7441">
        <w:rPr>
          <w:rFonts w:ascii="Calibri" w:hAnsi="Calibri"/>
          <w:sz w:val="22"/>
          <w:szCs w:val="22"/>
          <w:lang w:val="tr-TR"/>
        </w:rPr>
        <w:t xml:space="preserve"> bekleyen fezlekelerle ilgili 139 milletvekili hakkında ‘tek seferlik’ geçici ve şahsa yönelik bir düzenlemedir. Kurucu iktidar yetkisini kullanarak TBMM Anayasa’nın 83 ve 85. </w:t>
      </w:r>
      <w:r w:rsidR="00C75175" w:rsidRPr="00DE7441">
        <w:rPr>
          <w:rFonts w:ascii="Calibri" w:hAnsi="Calibri"/>
          <w:sz w:val="22"/>
          <w:szCs w:val="22"/>
          <w:lang w:val="tr-TR"/>
        </w:rPr>
        <w:t>M</w:t>
      </w:r>
      <w:r w:rsidR="002233A2" w:rsidRPr="00DE7441">
        <w:rPr>
          <w:rFonts w:ascii="Calibri" w:hAnsi="Calibri"/>
          <w:sz w:val="22"/>
          <w:szCs w:val="22"/>
          <w:lang w:val="tr-TR"/>
        </w:rPr>
        <w:t>addelerinde</w:t>
      </w:r>
      <w:r w:rsidR="00C75175" w:rsidRPr="00DE7441">
        <w:rPr>
          <w:rFonts w:ascii="Calibri" w:hAnsi="Calibri"/>
          <w:sz w:val="22"/>
          <w:szCs w:val="22"/>
          <w:lang w:val="tr-TR"/>
        </w:rPr>
        <w:t xml:space="preserve"> yer alan dokunulmazlık rejimini gelecekteki dosyalar bakımından muhafaza etmiş, ancak genel bir dil kullanmakla birlikte kimlikleri bilinen kişilerle ilgili belli fezlekeler bakımından bu rejime istisna getirmiştir. Bu durum anayasa değişikliği </w:t>
      </w:r>
      <w:proofErr w:type="gramStart"/>
      <w:r w:rsidR="00C75175" w:rsidRPr="00DE7441">
        <w:rPr>
          <w:rFonts w:ascii="Calibri" w:hAnsi="Calibri"/>
          <w:sz w:val="22"/>
          <w:szCs w:val="22"/>
          <w:lang w:val="tr-TR"/>
        </w:rPr>
        <w:t>prosedürünün</w:t>
      </w:r>
      <w:proofErr w:type="gramEnd"/>
      <w:r w:rsidR="00C75175" w:rsidRPr="00DE7441">
        <w:rPr>
          <w:rFonts w:ascii="Calibri" w:hAnsi="Calibri"/>
          <w:sz w:val="22"/>
          <w:szCs w:val="22"/>
          <w:lang w:val="tr-TR"/>
        </w:rPr>
        <w:t xml:space="preserve"> kötüye kullanılmasıdır</w:t>
      </w:r>
      <w:r w:rsidRPr="00DE7441">
        <w:rPr>
          <w:rFonts w:ascii="Calibri" w:hAnsi="Calibri"/>
          <w:sz w:val="22"/>
          <w:szCs w:val="22"/>
          <w:lang w:val="tr-TR"/>
        </w:rPr>
        <w:t>.</w:t>
      </w:r>
    </w:p>
    <w:p w:rsidR="002D1783" w:rsidRPr="00DE7441" w:rsidRDefault="002D1783" w:rsidP="002D1783">
      <w:pPr>
        <w:rPr>
          <w:rFonts w:ascii="Calibri" w:hAnsi="Calibri"/>
          <w:sz w:val="22"/>
          <w:szCs w:val="22"/>
          <w:lang w:val="tr-TR"/>
        </w:rPr>
      </w:pPr>
    </w:p>
    <w:p w:rsidR="002D1783" w:rsidRPr="00DE7441" w:rsidRDefault="002D1783" w:rsidP="002D1783">
      <w:pPr>
        <w:rPr>
          <w:rFonts w:ascii="Calibri" w:hAnsi="Calibri"/>
          <w:sz w:val="22"/>
          <w:szCs w:val="22"/>
          <w:lang w:val="tr-TR"/>
        </w:rPr>
      </w:pPr>
      <w:r w:rsidRPr="00DE7441">
        <w:rPr>
          <w:rFonts w:ascii="Calibri" w:hAnsi="Calibri"/>
          <w:sz w:val="22"/>
          <w:szCs w:val="22"/>
          <w:lang w:val="tr-TR"/>
        </w:rPr>
        <w:t xml:space="preserve">81. </w:t>
      </w:r>
      <w:r w:rsidR="00116A64" w:rsidRPr="00DE7441">
        <w:rPr>
          <w:rFonts w:ascii="Calibri" w:hAnsi="Calibri"/>
          <w:sz w:val="22"/>
          <w:szCs w:val="22"/>
          <w:lang w:val="tr-TR"/>
        </w:rPr>
        <w:t xml:space="preserve">Söz konusu milletvekilleri hakkındaki fezlekelerin tek tek ele alınmasının fazla uzun süreceği ve TBMM’nin gündemini gereksiz yere işgal edeceği </w:t>
      </w:r>
      <w:proofErr w:type="gramStart"/>
      <w:r w:rsidR="00116A64" w:rsidRPr="00DE7441">
        <w:rPr>
          <w:rFonts w:ascii="Calibri" w:hAnsi="Calibri"/>
          <w:sz w:val="22"/>
          <w:szCs w:val="22"/>
          <w:lang w:val="tr-TR"/>
        </w:rPr>
        <w:t>argümanı</w:t>
      </w:r>
      <w:proofErr w:type="gramEnd"/>
      <w:r w:rsidR="00116A64" w:rsidRPr="00DE7441">
        <w:rPr>
          <w:rFonts w:ascii="Calibri" w:hAnsi="Calibri"/>
          <w:sz w:val="22"/>
          <w:szCs w:val="22"/>
          <w:lang w:val="tr-TR"/>
        </w:rPr>
        <w:t xml:space="preserve"> ikna edici değildir. Dokunulmazlıkların kaldırılması usulünü basitleştirmek yerine, mevcut karmaşık sistem muhafaza edilmiş ancak 139 milletvekili bakımından istisna uygulanmıştır. TBMM’nin iş yükü, bu milletvekilleri hakkındaki fezlekelerin Değişikliğin kabulünden önce ve sonra Meclise gelen tüm dosyalardan ayrı tutulmasına gerekçe gösterilemez. Bu uygulama eşitlik ilkesini ihlal etmektedir. Komisyon’a göre, Türkiye’de yasama dokunulmazlığı sistemi, zayıflatılmamalı, aksine, özellikle Milletvekillerinin ifade özgürlüğünü güvence altına alacak şekilde güçlendirilmelidir. </w:t>
      </w:r>
    </w:p>
    <w:p w:rsidR="002D1783" w:rsidRPr="00DE7441" w:rsidRDefault="002D1783" w:rsidP="002D1783">
      <w:pPr>
        <w:rPr>
          <w:rFonts w:ascii="Calibri" w:hAnsi="Calibri"/>
          <w:sz w:val="22"/>
          <w:szCs w:val="22"/>
          <w:lang w:val="tr-TR"/>
        </w:rPr>
      </w:pPr>
    </w:p>
    <w:p w:rsidR="00210A34" w:rsidRPr="00DE7441" w:rsidRDefault="002D1783" w:rsidP="00603813">
      <w:pPr>
        <w:rPr>
          <w:rFonts w:ascii="Calibri" w:hAnsi="Calibri"/>
          <w:sz w:val="22"/>
          <w:szCs w:val="22"/>
          <w:lang w:val="tr-TR"/>
        </w:rPr>
      </w:pPr>
      <w:r w:rsidRPr="00DE7441">
        <w:rPr>
          <w:rFonts w:ascii="Calibri" w:hAnsi="Calibri"/>
          <w:sz w:val="22"/>
          <w:szCs w:val="22"/>
          <w:lang w:val="tr-TR"/>
        </w:rPr>
        <w:t xml:space="preserve">82. </w:t>
      </w:r>
      <w:r w:rsidR="00DC224F" w:rsidRPr="00DE7441">
        <w:rPr>
          <w:rFonts w:ascii="Calibri" w:hAnsi="Calibri"/>
          <w:sz w:val="22"/>
          <w:szCs w:val="22"/>
          <w:lang w:val="tr-TR"/>
        </w:rPr>
        <w:t>Venedik Komisyonu, özellikle Anayasa reformu ile ilgili devam eden çalışmalar bakımından Türkiye Cumhuriyeti yetkililerinin gelecekteki destek talepleri karşısında bu makamların emrine amade</w:t>
      </w:r>
      <w:r w:rsidR="009A391E" w:rsidRPr="00DE7441">
        <w:rPr>
          <w:rFonts w:ascii="Calibri" w:hAnsi="Calibri"/>
          <w:sz w:val="22"/>
          <w:szCs w:val="22"/>
          <w:lang w:val="tr-TR"/>
        </w:rPr>
        <w:t xml:space="preserve"> çalışmaya devam edecektir</w:t>
      </w:r>
      <w:r w:rsidR="00DC224F" w:rsidRPr="00DE7441">
        <w:rPr>
          <w:rFonts w:ascii="Calibri" w:hAnsi="Calibri"/>
          <w:sz w:val="22"/>
          <w:szCs w:val="22"/>
          <w:lang w:val="tr-TR"/>
        </w:rPr>
        <w:t xml:space="preserve">.  </w:t>
      </w:r>
    </w:p>
    <w:sectPr w:rsidR="00210A34" w:rsidRPr="00DE7441" w:rsidSect="007B7899">
      <w:headerReference w:type="first" r:id="rId14"/>
      <w:footerReference w:type="first" r:id="rId15"/>
      <w:pgSz w:w="12240" w:h="15840"/>
      <w:pgMar w:top="1440" w:right="1797" w:bottom="851" w:left="1797" w:header="680" w:footer="3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92" w:rsidRDefault="00B87892" w:rsidP="009B2176">
      <w:r>
        <w:separator/>
      </w:r>
    </w:p>
  </w:endnote>
  <w:endnote w:type="continuationSeparator" w:id="0">
    <w:p w:rsidR="00B87892" w:rsidRDefault="00B87892" w:rsidP="009B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B" w:rsidRDefault="00F93B8B" w:rsidP="00762FE7">
    <w:pPr>
      <w:pStyle w:val="Altbilgi"/>
      <w:framePr w:wrap="around" w:vAnchor="text" w:hAnchor="margin" w:xAlign="right" w:y="1"/>
      <w:rPr>
        <w:rStyle w:val="SayfaNumaras"/>
      </w:rPr>
    </w:pPr>
    <w:r>
      <w:rPr>
        <w:rStyle w:val="SayfaNumaras"/>
      </w:rPr>
      <w:fldChar w:fldCharType="begin"/>
    </w:r>
    <w:r w:rsidR="000D6A4B">
      <w:rPr>
        <w:rStyle w:val="SayfaNumaras"/>
      </w:rPr>
      <w:instrText xml:space="preserve">PAGE  </w:instrText>
    </w:r>
    <w:r>
      <w:rPr>
        <w:rStyle w:val="SayfaNumaras"/>
      </w:rPr>
      <w:fldChar w:fldCharType="end"/>
    </w:r>
  </w:p>
  <w:p w:rsidR="000D6A4B" w:rsidRDefault="000D6A4B" w:rsidP="000D6A4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B" w:rsidRPr="00D30E92" w:rsidRDefault="00F93B8B" w:rsidP="00762FE7">
    <w:pPr>
      <w:pStyle w:val="Altbilgi"/>
      <w:framePr w:wrap="around" w:vAnchor="text" w:hAnchor="margin" w:xAlign="right" w:y="1"/>
      <w:rPr>
        <w:rStyle w:val="SayfaNumaras"/>
        <w:rFonts w:asciiTheme="majorHAnsi" w:hAnsiTheme="majorHAnsi" w:cstheme="majorHAnsi"/>
        <w:sz w:val="18"/>
        <w:szCs w:val="18"/>
      </w:rPr>
    </w:pPr>
    <w:r w:rsidRPr="00D30E92">
      <w:rPr>
        <w:rStyle w:val="SayfaNumaras"/>
        <w:rFonts w:asciiTheme="majorHAnsi" w:hAnsiTheme="majorHAnsi" w:cstheme="majorHAnsi"/>
        <w:sz w:val="18"/>
        <w:szCs w:val="18"/>
      </w:rPr>
      <w:fldChar w:fldCharType="begin"/>
    </w:r>
    <w:r w:rsidR="000D6A4B" w:rsidRPr="00D30E92">
      <w:rPr>
        <w:rStyle w:val="SayfaNumaras"/>
        <w:rFonts w:asciiTheme="majorHAnsi" w:hAnsiTheme="majorHAnsi" w:cstheme="majorHAnsi"/>
        <w:sz w:val="18"/>
        <w:szCs w:val="18"/>
      </w:rPr>
      <w:instrText xml:space="preserve">PAGE  </w:instrText>
    </w:r>
    <w:r w:rsidRPr="00D30E92">
      <w:rPr>
        <w:rStyle w:val="SayfaNumaras"/>
        <w:rFonts w:asciiTheme="majorHAnsi" w:hAnsiTheme="majorHAnsi" w:cstheme="majorHAnsi"/>
        <w:sz w:val="18"/>
        <w:szCs w:val="18"/>
      </w:rPr>
      <w:fldChar w:fldCharType="separate"/>
    </w:r>
    <w:r w:rsidR="000717EA">
      <w:rPr>
        <w:rStyle w:val="SayfaNumaras"/>
        <w:rFonts w:asciiTheme="majorHAnsi" w:hAnsiTheme="majorHAnsi" w:cstheme="majorHAnsi"/>
        <w:noProof/>
        <w:sz w:val="18"/>
        <w:szCs w:val="18"/>
      </w:rPr>
      <w:t>2</w:t>
    </w:r>
    <w:r w:rsidRPr="00D30E92">
      <w:rPr>
        <w:rStyle w:val="SayfaNumaras"/>
        <w:rFonts w:asciiTheme="majorHAnsi" w:hAnsiTheme="majorHAnsi" w:cstheme="majorHAnsi"/>
        <w:sz w:val="18"/>
        <w:szCs w:val="18"/>
      </w:rPr>
      <w:fldChar w:fldCharType="end"/>
    </w:r>
  </w:p>
  <w:p w:rsidR="000D6A4B" w:rsidRPr="00D30E92" w:rsidRDefault="000D6A4B" w:rsidP="00F16033">
    <w:pPr>
      <w:pStyle w:val="Altbilgi"/>
      <w:ind w:right="360"/>
      <w:rPr>
        <w:rFonts w:asciiTheme="majorHAnsi" w:hAnsiTheme="majorHAnsi" w:cstheme="maj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EE" w:rsidRPr="00483F48" w:rsidRDefault="00CB783A" w:rsidP="00483F48">
    <w:pPr>
      <w:pStyle w:val="Altbilgi"/>
      <w:jc w:val="both"/>
      <w:rPr>
        <w:rFonts w:asciiTheme="majorHAnsi" w:hAnsiTheme="majorHAnsi" w:cstheme="majorHAnsi"/>
        <w:sz w:val="18"/>
        <w:szCs w:val="18"/>
        <w:lang w:val="tr-TR"/>
      </w:rPr>
    </w:pPr>
    <w:r w:rsidRPr="00483F48">
      <w:rPr>
        <w:rFonts w:asciiTheme="majorHAnsi" w:hAnsiTheme="majorHAnsi" w:cstheme="majorHAnsi"/>
        <w:sz w:val="18"/>
        <w:szCs w:val="18"/>
        <w:lang w:val="tr-TR"/>
      </w:rPr>
      <w:t xml:space="preserve">İHOP’un notu: Bu </w:t>
    </w:r>
    <w:r w:rsidR="00483F48" w:rsidRPr="00483F48">
      <w:rPr>
        <w:rFonts w:asciiTheme="majorHAnsi" w:hAnsiTheme="majorHAnsi" w:cstheme="majorHAnsi"/>
        <w:sz w:val="18"/>
        <w:szCs w:val="18"/>
        <w:lang w:val="tr-TR"/>
      </w:rPr>
      <w:t>görüşün</w:t>
    </w:r>
    <w:r w:rsidRPr="00483F48">
      <w:rPr>
        <w:rFonts w:asciiTheme="majorHAnsi" w:hAnsiTheme="majorHAnsi" w:cstheme="majorHAnsi"/>
        <w:sz w:val="18"/>
        <w:szCs w:val="18"/>
        <w:lang w:val="tr-TR"/>
      </w:rPr>
      <w:t xml:space="preserve"> gayri resmi çevirisi İnsan Hakları Ortak Platformu için </w:t>
    </w:r>
    <w:r w:rsidR="00483F48" w:rsidRPr="00483F48">
      <w:rPr>
        <w:rFonts w:asciiTheme="majorHAnsi" w:hAnsiTheme="majorHAnsi" w:cstheme="majorHAnsi"/>
        <w:sz w:val="18"/>
        <w:szCs w:val="18"/>
        <w:lang w:val="tr-TR"/>
      </w:rPr>
      <w:t xml:space="preserve">Ayşegül </w:t>
    </w:r>
    <w:proofErr w:type="spellStart"/>
    <w:r w:rsidR="00483F48" w:rsidRPr="00483F48">
      <w:rPr>
        <w:rFonts w:asciiTheme="majorHAnsi" w:hAnsiTheme="majorHAnsi" w:cstheme="majorHAnsi"/>
        <w:sz w:val="18"/>
        <w:szCs w:val="18"/>
        <w:lang w:val="tr-TR"/>
      </w:rPr>
      <w:t>Bahcıvan</w:t>
    </w:r>
    <w:proofErr w:type="spellEnd"/>
    <w:r w:rsidR="00483F48" w:rsidRPr="00483F48">
      <w:rPr>
        <w:rFonts w:asciiTheme="majorHAnsi" w:hAnsiTheme="majorHAnsi" w:cstheme="majorHAnsi"/>
        <w:sz w:val="18"/>
        <w:szCs w:val="18"/>
        <w:lang w:val="tr-TR"/>
      </w:rPr>
      <w:t xml:space="preserve"> </w:t>
    </w:r>
    <w:r w:rsidRPr="00483F48">
      <w:rPr>
        <w:rFonts w:asciiTheme="majorHAnsi" w:hAnsiTheme="majorHAnsi" w:cstheme="majorHAnsi"/>
        <w:sz w:val="18"/>
        <w:szCs w:val="18"/>
        <w:lang w:val="tr-TR"/>
      </w:rPr>
      <w:t>tarafından yapılmıştır.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080"/>
    </w:tblGrid>
    <w:tr w:rsidR="0051504C" w:rsidRPr="007B7899" w:rsidTr="007B7899">
      <w:tc>
        <w:tcPr>
          <w:tcW w:w="1985" w:type="dxa"/>
        </w:tcPr>
        <w:p w:rsidR="0051504C" w:rsidRPr="007B7899" w:rsidRDefault="0051504C" w:rsidP="00F16033">
          <w:pPr>
            <w:pStyle w:val="Altbilgi"/>
            <w:ind w:right="360"/>
            <w:rPr>
              <w:rFonts w:asciiTheme="majorHAnsi" w:hAnsiTheme="majorHAnsi" w:cstheme="majorHAnsi"/>
              <w:sz w:val="18"/>
              <w:szCs w:val="18"/>
            </w:rPr>
          </w:pPr>
          <w:r w:rsidRPr="007B7899">
            <w:rPr>
              <w:noProof/>
              <w:lang w:eastAsia="tr-TR"/>
            </w:rPr>
            <w:drawing>
              <wp:inline distT="0" distB="0" distL="0" distR="0" wp14:anchorId="38489955" wp14:editId="542F26EC">
                <wp:extent cx="840058" cy="48599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sivildusun_v2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4564" cy="488605"/>
                        </a:xfrm>
                        <a:prstGeom prst="rect">
                          <a:avLst/>
                        </a:prstGeom>
                        <a:noFill/>
                        <a:ln>
                          <a:noFill/>
                        </a:ln>
                      </pic:spPr>
                    </pic:pic>
                  </a:graphicData>
                </a:graphic>
              </wp:inline>
            </w:drawing>
          </w:r>
        </w:p>
      </w:tc>
      <w:tc>
        <w:tcPr>
          <w:tcW w:w="8080" w:type="dxa"/>
          <w:vAlign w:val="center"/>
        </w:tcPr>
        <w:p w:rsidR="0051504C" w:rsidRPr="007B7899" w:rsidRDefault="0051504C" w:rsidP="007B7899">
          <w:pPr>
            <w:pStyle w:val="Altbilgi"/>
            <w:ind w:right="360"/>
            <w:rPr>
              <w:rFonts w:asciiTheme="majorHAnsi" w:hAnsiTheme="majorHAnsi" w:cstheme="majorHAnsi"/>
              <w:sz w:val="18"/>
              <w:szCs w:val="18"/>
            </w:rPr>
          </w:pPr>
          <w:r w:rsidRPr="007B7899">
            <w:rPr>
              <w:rFonts w:asciiTheme="majorHAnsi" w:hAnsiTheme="majorHAnsi" w:cstheme="majorHAnsi"/>
              <w:sz w:val="18"/>
              <w:szCs w:val="18"/>
            </w:rPr>
            <w:t xml:space="preserve">Bu </w:t>
          </w:r>
          <w:proofErr w:type="spellStart"/>
          <w:r w:rsidRPr="007B7899">
            <w:rPr>
              <w:rFonts w:asciiTheme="majorHAnsi" w:hAnsiTheme="majorHAnsi" w:cstheme="majorHAnsi"/>
              <w:sz w:val="18"/>
              <w:szCs w:val="18"/>
            </w:rPr>
            <w:t>çeviri</w:t>
          </w:r>
          <w:proofErr w:type="spellEnd"/>
          <w:r w:rsidRPr="007B7899">
            <w:rPr>
              <w:rFonts w:asciiTheme="majorHAnsi" w:hAnsiTheme="majorHAnsi" w:cstheme="majorHAnsi"/>
              <w:sz w:val="18"/>
              <w:szCs w:val="18"/>
            </w:rPr>
            <w:t xml:space="preserve">, </w:t>
          </w:r>
          <w:proofErr w:type="spellStart"/>
          <w:r w:rsidRPr="007B7899">
            <w:rPr>
              <w:rFonts w:asciiTheme="majorHAnsi" w:hAnsiTheme="majorHAnsi" w:cstheme="majorHAnsi"/>
              <w:sz w:val="18"/>
              <w:szCs w:val="18"/>
            </w:rPr>
            <w:t>Sivil</w:t>
          </w:r>
          <w:proofErr w:type="spellEnd"/>
          <w:r w:rsidRPr="007B7899">
            <w:rPr>
              <w:rFonts w:asciiTheme="majorHAnsi" w:hAnsiTheme="majorHAnsi" w:cstheme="majorHAnsi"/>
              <w:sz w:val="18"/>
              <w:szCs w:val="18"/>
            </w:rPr>
            <w:t xml:space="preserve"> </w:t>
          </w:r>
          <w:proofErr w:type="spellStart"/>
          <w:r w:rsidRPr="007B7899">
            <w:rPr>
              <w:rFonts w:asciiTheme="majorHAnsi" w:hAnsiTheme="majorHAnsi" w:cstheme="majorHAnsi"/>
              <w:sz w:val="18"/>
              <w:szCs w:val="18"/>
            </w:rPr>
            <w:t>Düşün</w:t>
          </w:r>
          <w:proofErr w:type="spellEnd"/>
          <w:r w:rsidRPr="007B7899">
            <w:rPr>
              <w:rFonts w:asciiTheme="majorHAnsi" w:hAnsiTheme="majorHAnsi" w:cstheme="majorHAnsi"/>
              <w:sz w:val="18"/>
              <w:szCs w:val="18"/>
            </w:rPr>
            <w:t xml:space="preserve"> AB </w:t>
          </w:r>
          <w:proofErr w:type="spellStart"/>
          <w:r w:rsidRPr="007B7899">
            <w:rPr>
              <w:rFonts w:asciiTheme="majorHAnsi" w:hAnsiTheme="majorHAnsi" w:cstheme="majorHAnsi"/>
              <w:sz w:val="18"/>
              <w:szCs w:val="18"/>
            </w:rPr>
            <w:t>Programı</w:t>
          </w:r>
          <w:proofErr w:type="spellEnd"/>
          <w:r w:rsidRPr="007B7899">
            <w:rPr>
              <w:rFonts w:asciiTheme="majorHAnsi" w:hAnsiTheme="majorHAnsi" w:cstheme="majorHAnsi"/>
              <w:sz w:val="18"/>
              <w:szCs w:val="18"/>
            </w:rPr>
            <w:t xml:space="preserve"> </w:t>
          </w:r>
          <w:proofErr w:type="spellStart"/>
          <w:r w:rsidRPr="007B7899">
            <w:rPr>
              <w:rFonts w:asciiTheme="majorHAnsi" w:hAnsiTheme="majorHAnsi" w:cstheme="majorHAnsi"/>
              <w:sz w:val="18"/>
              <w:szCs w:val="18"/>
            </w:rPr>
            <w:t>Aktivist</w:t>
          </w:r>
          <w:proofErr w:type="spellEnd"/>
          <w:r w:rsidRPr="007B7899">
            <w:rPr>
              <w:rFonts w:asciiTheme="majorHAnsi" w:hAnsiTheme="majorHAnsi" w:cstheme="majorHAnsi"/>
              <w:sz w:val="18"/>
              <w:szCs w:val="18"/>
            </w:rPr>
            <w:t xml:space="preserve"> </w:t>
          </w:r>
          <w:proofErr w:type="spellStart"/>
          <w:r w:rsidRPr="007B7899">
            <w:rPr>
              <w:rFonts w:asciiTheme="majorHAnsi" w:hAnsiTheme="majorHAnsi" w:cstheme="majorHAnsi"/>
              <w:sz w:val="18"/>
              <w:szCs w:val="18"/>
            </w:rPr>
            <w:t>Desteği</w:t>
          </w:r>
          <w:proofErr w:type="spellEnd"/>
          <w:r w:rsidRPr="007B7899">
            <w:rPr>
              <w:rFonts w:asciiTheme="majorHAnsi" w:hAnsiTheme="majorHAnsi" w:cstheme="majorHAnsi"/>
              <w:sz w:val="18"/>
              <w:szCs w:val="18"/>
            </w:rPr>
            <w:t xml:space="preserve"> </w:t>
          </w:r>
          <w:proofErr w:type="spellStart"/>
          <w:r w:rsidRPr="007B7899">
            <w:rPr>
              <w:rFonts w:asciiTheme="majorHAnsi" w:hAnsiTheme="majorHAnsi" w:cstheme="majorHAnsi"/>
              <w:sz w:val="18"/>
              <w:szCs w:val="18"/>
            </w:rPr>
            <w:t>kapsamında</w:t>
          </w:r>
          <w:proofErr w:type="spellEnd"/>
          <w:r w:rsidRPr="007B7899">
            <w:rPr>
              <w:rFonts w:asciiTheme="majorHAnsi" w:hAnsiTheme="majorHAnsi" w:cstheme="majorHAnsi"/>
              <w:sz w:val="18"/>
              <w:szCs w:val="18"/>
            </w:rPr>
            <w:t xml:space="preserve"> </w:t>
          </w:r>
          <w:proofErr w:type="spellStart"/>
          <w:r w:rsidRPr="007B7899">
            <w:rPr>
              <w:rFonts w:asciiTheme="majorHAnsi" w:hAnsiTheme="majorHAnsi" w:cstheme="majorHAnsi"/>
              <w:sz w:val="18"/>
              <w:szCs w:val="18"/>
            </w:rPr>
            <w:t>Avrupa</w:t>
          </w:r>
          <w:proofErr w:type="spellEnd"/>
          <w:r w:rsidRPr="007B7899">
            <w:rPr>
              <w:rFonts w:asciiTheme="majorHAnsi" w:hAnsiTheme="majorHAnsi" w:cstheme="majorHAnsi"/>
              <w:sz w:val="18"/>
              <w:szCs w:val="18"/>
            </w:rPr>
            <w:t xml:space="preserve"> </w:t>
          </w:r>
          <w:proofErr w:type="spellStart"/>
          <w:r w:rsidRPr="007B7899">
            <w:rPr>
              <w:rFonts w:asciiTheme="majorHAnsi" w:hAnsiTheme="majorHAnsi" w:cstheme="majorHAnsi"/>
              <w:sz w:val="18"/>
              <w:szCs w:val="18"/>
            </w:rPr>
            <w:t>Birliği</w:t>
          </w:r>
          <w:proofErr w:type="spellEnd"/>
          <w:r w:rsidRPr="007B7899">
            <w:rPr>
              <w:rFonts w:asciiTheme="majorHAnsi" w:hAnsiTheme="majorHAnsi" w:cstheme="majorHAnsi"/>
              <w:sz w:val="18"/>
              <w:szCs w:val="18"/>
            </w:rPr>
            <w:t xml:space="preserve"> </w:t>
          </w:r>
          <w:proofErr w:type="spellStart"/>
          <w:r w:rsidRPr="007B7899">
            <w:rPr>
              <w:rFonts w:asciiTheme="majorHAnsi" w:hAnsiTheme="majorHAnsi" w:cstheme="majorHAnsi"/>
              <w:sz w:val="18"/>
              <w:szCs w:val="18"/>
            </w:rPr>
            <w:t>desteği</w:t>
          </w:r>
          <w:proofErr w:type="spellEnd"/>
          <w:r w:rsidRPr="007B7899">
            <w:rPr>
              <w:rFonts w:asciiTheme="majorHAnsi" w:hAnsiTheme="majorHAnsi" w:cstheme="majorHAnsi"/>
              <w:sz w:val="18"/>
              <w:szCs w:val="18"/>
            </w:rPr>
            <w:t xml:space="preserve"> </w:t>
          </w:r>
          <w:proofErr w:type="spellStart"/>
          <w:r w:rsidRPr="007B7899">
            <w:rPr>
              <w:rFonts w:asciiTheme="majorHAnsi" w:hAnsiTheme="majorHAnsi" w:cstheme="majorHAnsi"/>
              <w:sz w:val="18"/>
              <w:szCs w:val="18"/>
            </w:rPr>
            <w:t>ile</w:t>
          </w:r>
          <w:proofErr w:type="spellEnd"/>
          <w:r w:rsidRPr="007B7899">
            <w:rPr>
              <w:rFonts w:asciiTheme="majorHAnsi" w:hAnsiTheme="majorHAnsi" w:cstheme="majorHAnsi"/>
              <w:sz w:val="18"/>
              <w:szCs w:val="18"/>
            </w:rPr>
            <w:t xml:space="preserve"> </w:t>
          </w:r>
          <w:proofErr w:type="spellStart"/>
          <w:r w:rsidRPr="007B7899">
            <w:rPr>
              <w:rFonts w:asciiTheme="majorHAnsi" w:hAnsiTheme="majorHAnsi" w:cstheme="majorHAnsi"/>
              <w:sz w:val="18"/>
              <w:szCs w:val="18"/>
            </w:rPr>
            <w:t>h</w:t>
          </w:r>
          <w:r w:rsidRPr="007B7899">
            <w:rPr>
              <w:rFonts w:asciiTheme="majorHAnsi" w:hAnsiTheme="majorHAnsi" w:cstheme="majorHAnsi"/>
              <w:sz w:val="18"/>
              <w:szCs w:val="18"/>
            </w:rPr>
            <w:t>azırlanmıştır</w:t>
          </w:r>
          <w:proofErr w:type="spellEnd"/>
          <w:r w:rsidRPr="007B7899">
            <w:rPr>
              <w:rFonts w:asciiTheme="majorHAnsi" w:hAnsiTheme="majorHAnsi" w:cstheme="majorHAnsi"/>
              <w:sz w:val="18"/>
              <w:szCs w:val="18"/>
            </w:rPr>
            <w:t>.</w:t>
          </w:r>
        </w:p>
      </w:tc>
    </w:tr>
  </w:tbl>
  <w:p w:rsidR="0051504C" w:rsidRPr="007B7899" w:rsidRDefault="0051504C" w:rsidP="00F16033">
    <w:pPr>
      <w:pStyle w:val="Altbilgi"/>
      <w:ind w:right="360"/>
      <w:rPr>
        <w:rFonts w:asciiTheme="majorHAnsi" w:hAnsiTheme="majorHAnsi" w:cstheme="majorHAns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92" w:rsidRDefault="00B87892" w:rsidP="009B2176">
      <w:r>
        <w:separator/>
      </w:r>
    </w:p>
  </w:footnote>
  <w:footnote w:type="continuationSeparator" w:id="0">
    <w:p w:rsidR="00B87892" w:rsidRDefault="00B87892" w:rsidP="009B2176">
      <w:r>
        <w:continuationSeparator/>
      </w:r>
    </w:p>
  </w:footnote>
  <w:footnote w:id="1">
    <w:p w:rsidR="004F7908" w:rsidRPr="00DE7441" w:rsidRDefault="004F7908">
      <w:pPr>
        <w:pStyle w:val="DipnotMetni"/>
        <w:rPr>
          <w:lang w:val="tr-TR"/>
        </w:rPr>
      </w:pPr>
      <w:r>
        <w:rPr>
          <w:rStyle w:val="DipnotBavurusu"/>
        </w:rPr>
        <w:footnoteRef/>
      </w:r>
      <w:r w:rsidRPr="00DE7441">
        <w:rPr>
          <w:rFonts w:ascii="Calibri" w:hAnsi="Calibri" w:cs="Arial"/>
          <w:color w:val="0011FF"/>
          <w:sz w:val="18"/>
          <w:szCs w:val="18"/>
        </w:rPr>
        <w:t>http://assembly.coe.int/nw/xml/XRef/Xref-XML2HTML-EN.asp?fileid=22971&amp;lang=en.</w:t>
      </w:r>
    </w:p>
  </w:footnote>
  <w:footnote w:id="2">
    <w:p w:rsidR="004F7908" w:rsidRPr="0051504C" w:rsidRDefault="004F7908" w:rsidP="0051504C">
      <w:pPr>
        <w:widowControl w:val="0"/>
        <w:autoSpaceDE w:val="0"/>
        <w:autoSpaceDN w:val="0"/>
        <w:adjustRightInd w:val="0"/>
        <w:spacing w:after="240"/>
        <w:rPr>
          <w:rFonts w:ascii="Times" w:hAnsi="Times" w:cs="Times"/>
          <w:lang w:val="tr-TR"/>
        </w:rPr>
      </w:pPr>
      <w:r w:rsidRPr="00DE7441">
        <w:rPr>
          <w:rStyle w:val="DipnotBavurusu"/>
          <w:lang w:val="tr-TR"/>
        </w:rPr>
        <w:footnoteRef/>
      </w:r>
      <w:r w:rsidRPr="00DE7441">
        <w:rPr>
          <w:rFonts w:ascii="Calibri" w:hAnsi="Calibri" w:cs="Arial"/>
          <w:sz w:val="18"/>
          <w:szCs w:val="18"/>
          <w:lang w:val="tr-TR"/>
        </w:rPr>
        <w:t xml:space="preserve">Venedik Komisyonu Başkanı 18 Temmuz 2016 tarihinde yaptığı açıklamada darbeyi şiddetle kınamıştır. </w:t>
      </w:r>
      <w:r w:rsidRPr="00DE7441">
        <w:rPr>
          <w:rFonts w:ascii="Calibri" w:hAnsi="Calibri" w:cs="Arial"/>
          <w:color w:val="0011FF"/>
          <w:sz w:val="18"/>
          <w:szCs w:val="18"/>
          <w:lang w:val="tr-TR"/>
        </w:rPr>
        <w:t>http://www.venice.coe.int/webforms/events/?id=2266.</w:t>
      </w:r>
    </w:p>
  </w:footnote>
  <w:footnote w:id="3">
    <w:p w:rsidR="004F7908" w:rsidRPr="00B867ED" w:rsidRDefault="004F7908" w:rsidP="004F7908">
      <w:pPr>
        <w:widowControl w:val="0"/>
        <w:autoSpaceDE w:val="0"/>
        <w:autoSpaceDN w:val="0"/>
        <w:adjustRightInd w:val="0"/>
        <w:rPr>
          <w:rFonts w:ascii="Arial" w:hAnsi="Arial" w:cs="Arial"/>
          <w:sz w:val="26"/>
          <w:szCs w:val="26"/>
          <w:lang w:val="tr-TR"/>
        </w:rPr>
      </w:pPr>
      <w:r>
        <w:rPr>
          <w:rStyle w:val="DipnotBavurusu"/>
        </w:rPr>
        <w:footnoteRef/>
      </w:r>
      <w:r w:rsidRPr="009270A8">
        <w:rPr>
          <w:rFonts w:ascii="Calibri" w:hAnsi="Calibri" w:cs="Arial"/>
          <w:sz w:val="18"/>
          <w:szCs w:val="18"/>
          <w:lang w:val="tr-TR"/>
        </w:rPr>
        <w:t xml:space="preserve">AİHM, Kart – Türkiye davası, Başvuru </w:t>
      </w:r>
      <w:proofErr w:type="spellStart"/>
      <w:r w:rsidRPr="009270A8">
        <w:rPr>
          <w:rFonts w:ascii="Calibri" w:hAnsi="Calibri" w:cs="Arial"/>
          <w:sz w:val="18"/>
          <w:szCs w:val="18"/>
          <w:lang w:val="tr-TR"/>
        </w:rPr>
        <w:t>no</w:t>
      </w:r>
      <w:proofErr w:type="spellEnd"/>
      <w:r w:rsidRPr="009270A8">
        <w:rPr>
          <w:rFonts w:ascii="Calibri" w:hAnsi="Calibri" w:cs="Arial"/>
          <w:sz w:val="18"/>
          <w:szCs w:val="18"/>
          <w:lang w:val="tr-TR"/>
        </w:rPr>
        <w:t>. 8917/05, par. 97.</w:t>
      </w:r>
    </w:p>
  </w:footnote>
  <w:footnote w:id="4">
    <w:p w:rsidR="004F7908" w:rsidRPr="000F570E" w:rsidRDefault="004F7908" w:rsidP="000F570E">
      <w:pPr>
        <w:pStyle w:val="DipnotMetni"/>
        <w:rPr>
          <w:rFonts w:ascii="Calibri" w:hAnsi="Calibri"/>
          <w:sz w:val="18"/>
          <w:szCs w:val="18"/>
        </w:rPr>
      </w:pPr>
      <w:r>
        <w:rPr>
          <w:rStyle w:val="DipnotBavurusu"/>
        </w:rPr>
        <w:footnoteRef/>
      </w:r>
      <w:r w:rsidRPr="00B867ED">
        <w:rPr>
          <w:rFonts w:ascii="Calibri" w:hAnsi="Calibri"/>
          <w:sz w:val="18"/>
          <w:szCs w:val="18"/>
          <w:lang w:val="tr-TR"/>
        </w:rPr>
        <w:t>Diğer</w:t>
      </w:r>
      <w:r w:rsidR="00FB0051" w:rsidRPr="00B867ED">
        <w:rPr>
          <w:rFonts w:ascii="Calibri" w:hAnsi="Calibri"/>
          <w:sz w:val="18"/>
          <w:szCs w:val="18"/>
          <w:lang w:val="tr-TR"/>
        </w:rPr>
        <w:t xml:space="preserve"> </w:t>
      </w:r>
      <w:r w:rsidRPr="00B867ED">
        <w:rPr>
          <w:rFonts w:ascii="Calibri" w:hAnsi="Calibri"/>
          <w:sz w:val="18"/>
          <w:szCs w:val="18"/>
          <w:lang w:val="tr-TR"/>
        </w:rPr>
        <w:t>ilgili</w:t>
      </w:r>
      <w:r w:rsidR="00FB0051" w:rsidRPr="00B867ED">
        <w:rPr>
          <w:rFonts w:ascii="Calibri" w:hAnsi="Calibri"/>
          <w:sz w:val="18"/>
          <w:szCs w:val="18"/>
          <w:lang w:val="tr-TR"/>
        </w:rPr>
        <w:t xml:space="preserve"> </w:t>
      </w:r>
      <w:r w:rsidRPr="00B867ED">
        <w:rPr>
          <w:rFonts w:ascii="Calibri" w:hAnsi="Calibri"/>
          <w:sz w:val="18"/>
          <w:szCs w:val="18"/>
          <w:lang w:val="tr-TR"/>
        </w:rPr>
        <w:t xml:space="preserve">çalışmalar: </w:t>
      </w:r>
      <w:r w:rsidRPr="000F570E">
        <w:rPr>
          <w:rFonts w:ascii="Calibri" w:hAnsi="Calibri"/>
          <w:sz w:val="18"/>
          <w:szCs w:val="18"/>
          <w:lang w:val="tr-TR"/>
        </w:rPr>
        <w:t>‘Milletvekili dokunulmazlığı: Parlamenterler Meclisi üyelerine tanınan ayrıcalık ve dokunulmazlıkların kapsamı ile ilgili karşılaşılan zorluklar’ başlıklı 2127 (2016)1 Sayılı Kararı</w:t>
      </w:r>
      <w:r w:rsidRPr="00B867ED">
        <w:rPr>
          <w:rFonts w:ascii="Calibri" w:hAnsi="Calibri"/>
          <w:sz w:val="18"/>
          <w:szCs w:val="18"/>
          <w:lang w:val="tr-TR"/>
        </w:rPr>
        <w:t xml:space="preserve"> (http://assembly.coe.int/nw/xml/XRef/Xref-XML2HTML-EN.asp?fileid=22971&amp;lang=en), AB Parlamentosu</w:t>
      </w:r>
      <w:r w:rsidR="00FB0051" w:rsidRPr="00B867ED">
        <w:rPr>
          <w:rFonts w:ascii="Calibri" w:hAnsi="Calibri"/>
          <w:sz w:val="18"/>
          <w:szCs w:val="18"/>
          <w:lang w:val="tr-TR"/>
        </w:rPr>
        <w:t xml:space="preserve"> </w:t>
      </w:r>
      <w:r w:rsidRPr="00B867ED">
        <w:rPr>
          <w:rFonts w:ascii="Calibri" w:hAnsi="Calibri"/>
          <w:sz w:val="18"/>
          <w:szCs w:val="18"/>
          <w:lang w:val="tr-TR"/>
        </w:rPr>
        <w:t>araştırması: “</w:t>
      </w:r>
      <w:proofErr w:type="spellStart"/>
      <w:r w:rsidRPr="00B867ED">
        <w:rPr>
          <w:rFonts w:ascii="Calibri" w:hAnsi="Calibri"/>
          <w:sz w:val="18"/>
          <w:szCs w:val="18"/>
          <w:lang w:val="tr-TR"/>
        </w:rPr>
        <w:t>Non-liable</w:t>
      </w:r>
      <w:proofErr w:type="spellEnd"/>
      <w:r w:rsidRPr="00B867ED">
        <w:rPr>
          <w:rFonts w:ascii="Calibri" w:hAnsi="Calibri"/>
          <w:sz w:val="18"/>
          <w:szCs w:val="18"/>
          <w:lang w:val="tr-TR"/>
        </w:rPr>
        <w:t xml:space="preserve">? </w:t>
      </w:r>
      <w:proofErr w:type="gramStart"/>
      <w:r w:rsidRPr="000F570E">
        <w:rPr>
          <w:rFonts w:ascii="Calibri" w:hAnsi="Calibri"/>
          <w:sz w:val="18"/>
          <w:szCs w:val="18"/>
        </w:rPr>
        <w:t>Inviolable ?</w:t>
      </w:r>
      <w:proofErr w:type="gramEnd"/>
      <w:r w:rsidRPr="000F570E">
        <w:rPr>
          <w:rFonts w:ascii="Calibri" w:hAnsi="Calibri"/>
          <w:sz w:val="18"/>
          <w:szCs w:val="18"/>
        </w:rPr>
        <w:t xml:space="preserve"> </w:t>
      </w:r>
      <w:proofErr w:type="gramStart"/>
      <w:r w:rsidRPr="000F570E">
        <w:rPr>
          <w:rFonts w:ascii="Calibri" w:hAnsi="Calibri"/>
          <w:sz w:val="18"/>
          <w:szCs w:val="18"/>
        </w:rPr>
        <w:t>Untouchable ?”</w:t>
      </w:r>
      <w:proofErr w:type="gramEnd"/>
      <w:r w:rsidRPr="000F570E">
        <w:rPr>
          <w:rFonts w:ascii="Calibri" w:hAnsi="Calibri"/>
          <w:sz w:val="18"/>
          <w:szCs w:val="18"/>
        </w:rPr>
        <w:t xml:space="preserve"> (www.agora- parl.org/sites/default/files/parliamentary_immunities_final_web.pdf) </w:t>
      </w:r>
      <w:proofErr w:type="gramStart"/>
      <w:r>
        <w:rPr>
          <w:rFonts w:ascii="Calibri" w:hAnsi="Calibri"/>
          <w:sz w:val="18"/>
          <w:szCs w:val="18"/>
        </w:rPr>
        <w:t>veParlamentolararasıBirliğinDünyaÇapındayürüttüğüMeclisYetkileribaşlıklıçalışma;</w:t>
      </w:r>
      <w:proofErr w:type="gramEnd"/>
      <w:r>
        <w:rPr>
          <w:rFonts w:ascii="Calibri" w:hAnsi="Calibri"/>
          <w:sz w:val="18"/>
          <w:szCs w:val="18"/>
        </w:rPr>
        <w:t>(</w:t>
      </w:r>
      <w:r w:rsidRPr="000F570E">
        <w:rPr>
          <w:rFonts w:ascii="Calibri" w:hAnsi="Calibri"/>
          <w:sz w:val="18"/>
          <w:szCs w:val="18"/>
        </w:rPr>
        <w:t>Inter-Parliamentary Union Study on the Parliamentary Mandate throughout the World of 2000</w:t>
      </w:r>
      <w:r>
        <w:rPr>
          <w:rFonts w:ascii="Calibri" w:hAnsi="Calibri"/>
          <w:sz w:val="18"/>
          <w:szCs w:val="18"/>
        </w:rPr>
        <w:t>)</w:t>
      </w:r>
      <w:r w:rsidRPr="000F570E">
        <w:rPr>
          <w:rFonts w:ascii="Calibri" w:hAnsi="Calibri"/>
          <w:sz w:val="18"/>
          <w:szCs w:val="18"/>
        </w:rPr>
        <w:t xml:space="preserve"> (www.ipu.org/english/pressdoc/gen94.htm).</w:t>
      </w:r>
    </w:p>
    <w:p w:rsidR="004F7908" w:rsidRPr="000F570E" w:rsidRDefault="004F7908">
      <w:pPr>
        <w:pStyle w:val="DipnotMetni"/>
        <w:rPr>
          <w:lang w:val="tr-TR"/>
        </w:rPr>
      </w:pPr>
    </w:p>
  </w:footnote>
  <w:footnote w:id="5">
    <w:p w:rsidR="004F7908" w:rsidRPr="000F570E" w:rsidRDefault="004F7908">
      <w:pPr>
        <w:pStyle w:val="DipnotMetni"/>
        <w:rPr>
          <w:lang w:val="tr-TR"/>
        </w:rPr>
      </w:pPr>
      <w:r>
        <w:rPr>
          <w:rStyle w:val="DipnotBavurusu"/>
        </w:rPr>
        <w:footnoteRef/>
      </w:r>
      <w:r w:rsidRPr="000F570E">
        <w:rPr>
          <w:rFonts w:ascii="Calibri" w:hAnsi="Calibri"/>
          <w:sz w:val="18"/>
          <w:szCs w:val="18"/>
        </w:rPr>
        <w:t>CDL-</w:t>
      </w:r>
      <w:proofErr w:type="gramStart"/>
      <w:r w:rsidRPr="000F570E">
        <w:rPr>
          <w:rFonts w:ascii="Calibri" w:hAnsi="Calibri"/>
          <w:sz w:val="18"/>
          <w:szCs w:val="18"/>
        </w:rPr>
        <w:t>AD(</w:t>
      </w:r>
      <w:proofErr w:type="gramEnd"/>
      <w:r w:rsidRPr="000F570E">
        <w:rPr>
          <w:rFonts w:ascii="Calibri" w:hAnsi="Calibri"/>
          <w:sz w:val="18"/>
          <w:szCs w:val="18"/>
        </w:rPr>
        <w:t>2014)011, par. 12.</w:t>
      </w:r>
    </w:p>
  </w:footnote>
  <w:footnote w:id="6">
    <w:p w:rsidR="004F7908" w:rsidRPr="004F7908" w:rsidRDefault="004F7908">
      <w:pPr>
        <w:pStyle w:val="DipnotMetni"/>
      </w:pPr>
      <w:r>
        <w:rPr>
          <w:rStyle w:val="DipnotBavurusu"/>
        </w:rPr>
        <w:footnoteRef/>
      </w:r>
      <w:r w:rsidRPr="000F570E">
        <w:rPr>
          <w:rFonts w:ascii="Calibri" w:hAnsi="Calibri"/>
          <w:sz w:val="18"/>
          <w:szCs w:val="18"/>
        </w:rPr>
        <w:t>CDL-</w:t>
      </w:r>
      <w:proofErr w:type="gramStart"/>
      <w:r w:rsidRPr="000F570E">
        <w:rPr>
          <w:rFonts w:ascii="Calibri" w:hAnsi="Calibri"/>
          <w:sz w:val="18"/>
          <w:szCs w:val="18"/>
        </w:rPr>
        <w:t>AD(</w:t>
      </w:r>
      <w:proofErr w:type="gramEnd"/>
      <w:r w:rsidRPr="000F570E">
        <w:rPr>
          <w:rFonts w:ascii="Calibri" w:hAnsi="Calibri"/>
          <w:sz w:val="18"/>
          <w:szCs w:val="18"/>
        </w:rPr>
        <w:t>2014)011, par. 89.</w:t>
      </w:r>
    </w:p>
  </w:footnote>
  <w:footnote w:id="7">
    <w:p w:rsidR="004F7908" w:rsidRPr="000F570E" w:rsidRDefault="004F7908" w:rsidP="000F570E">
      <w:pPr>
        <w:pStyle w:val="DipnotMetni"/>
      </w:pPr>
      <w:r>
        <w:rPr>
          <w:rStyle w:val="DipnotBavurusu"/>
        </w:rPr>
        <w:footnoteRef/>
      </w:r>
      <w:r w:rsidRPr="000F570E">
        <w:rPr>
          <w:rFonts w:ascii="Calibri" w:hAnsi="Calibri"/>
          <w:sz w:val="18"/>
          <w:szCs w:val="18"/>
        </w:rPr>
        <w:t>CDL-</w:t>
      </w:r>
      <w:proofErr w:type="gramStart"/>
      <w:r w:rsidRPr="000F570E">
        <w:rPr>
          <w:rFonts w:ascii="Calibri" w:hAnsi="Calibri"/>
          <w:sz w:val="18"/>
          <w:szCs w:val="18"/>
        </w:rPr>
        <w:t>AD(</w:t>
      </w:r>
      <w:proofErr w:type="gramEnd"/>
      <w:r w:rsidRPr="000F570E">
        <w:rPr>
          <w:rFonts w:ascii="Calibri" w:hAnsi="Calibri"/>
          <w:sz w:val="18"/>
          <w:szCs w:val="18"/>
        </w:rPr>
        <w:t>2014)011, par. 14.</w:t>
      </w:r>
    </w:p>
    <w:p w:rsidR="004F7908" w:rsidRPr="000F570E" w:rsidRDefault="004F7908">
      <w:pPr>
        <w:pStyle w:val="DipnotMetni"/>
        <w:rPr>
          <w:lang w:val="tr-TR"/>
        </w:rPr>
      </w:pPr>
    </w:p>
  </w:footnote>
  <w:footnote w:id="8">
    <w:p w:rsidR="004F7908" w:rsidRPr="00B867ED" w:rsidRDefault="004F7908" w:rsidP="00B867ED">
      <w:pPr>
        <w:pStyle w:val="DipnotMetni"/>
      </w:pPr>
      <w:r>
        <w:rPr>
          <w:rStyle w:val="DipnotBavurusu"/>
        </w:rPr>
        <w:footnoteRef/>
      </w:r>
      <w:r w:rsidRPr="000F570E">
        <w:rPr>
          <w:rFonts w:ascii="Calibri" w:hAnsi="Calibri"/>
          <w:sz w:val="18"/>
          <w:szCs w:val="18"/>
        </w:rPr>
        <w:t>CDL-</w:t>
      </w:r>
      <w:proofErr w:type="gramStart"/>
      <w:r w:rsidRPr="000F570E">
        <w:rPr>
          <w:rFonts w:ascii="Calibri" w:hAnsi="Calibri"/>
          <w:sz w:val="18"/>
          <w:szCs w:val="18"/>
        </w:rPr>
        <w:t>AD(</w:t>
      </w:r>
      <w:proofErr w:type="gramEnd"/>
      <w:r w:rsidRPr="000F570E">
        <w:rPr>
          <w:rFonts w:ascii="Calibri" w:hAnsi="Calibri"/>
          <w:sz w:val="18"/>
          <w:szCs w:val="18"/>
        </w:rPr>
        <w:t>2015)013, par. 31.</w:t>
      </w:r>
    </w:p>
  </w:footnote>
  <w:footnote w:id="9">
    <w:p w:rsidR="004F7908" w:rsidRPr="00DE7441" w:rsidRDefault="004F7908" w:rsidP="009B2176">
      <w:pPr>
        <w:pStyle w:val="DipnotMetni"/>
        <w:rPr>
          <w:rFonts w:ascii="Calibri" w:hAnsi="Calibri"/>
          <w:sz w:val="18"/>
          <w:szCs w:val="18"/>
          <w:lang w:val="tr-TR"/>
        </w:rPr>
      </w:pPr>
      <w:r w:rsidRPr="00DE7441">
        <w:rPr>
          <w:rStyle w:val="DipnotBavurusu"/>
          <w:lang w:val="tr-TR"/>
        </w:rPr>
        <w:footnoteRef/>
      </w:r>
      <w:r w:rsidRPr="00DE7441">
        <w:rPr>
          <w:rFonts w:ascii="Calibri" w:hAnsi="Calibri"/>
          <w:b/>
          <w:bCs/>
          <w:sz w:val="18"/>
          <w:szCs w:val="18"/>
          <w:lang w:val="tr-TR"/>
        </w:rPr>
        <w:t>Yasama dokunulmazlığı</w:t>
      </w:r>
    </w:p>
    <w:p w:rsidR="004F7908" w:rsidRPr="00DE7441" w:rsidRDefault="004F7908" w:rsidP="009B2176">
      <w:pPr>
        <w:pStyle w:val="DipnotMetni"/>
        <w:rPr>
          <w:rFonts w:ascii="Calibri" w:hAnsi="Calibri"/>
          <w:sz w:val="18"/>
          <w:szCs w:val="18"/>
          <w:lang w:val="tr-TR"/>
        </w:rPr>
      </w:pPr>
      <w:r w:rsidRPr="00DE7441">
        <w:rPr>
          <w:rFonts w:ascii="Calibri" w:hAnsi="Calibri"/>
          <w:b/>
          <w:bCs/>
          <w:sz w:val="18"/>
          <w:szCs w:val="18"/>
          <w:lang w:val="tr-TR"/>
        </w:rPr>
        <w:t>MADDE 83</w:t>
      </w:r>
      <w:r w:rsidRPr="00DE7441">
        <w:rPr>
          <w:rFonts w:ascii="Calibri" w:hAnsi="Calibri"/>
          <w:sz w:val="18"/>
          <w:szCs w:val="18"/>
          <w:lang w:val="tr-TR"/>
        </w:rPr>
        <w:t xml:space="preserve">. – Türkiye Büyük Millet Meclisi üyeleri, Meclis çalışmalarındaki oy ve sözlerinden, Mecliste ileri sürdükleri düşüncelerden, o oturumdaki Başkanlık Divanının teklifi üzerine </w:t>
      </w:r>
      <w:proofErr w:type="spellStart"/>
      <w:r w:rsidRPr="00DE7441">
        <w:rPr>
          <w:rFonts w:ascii="Calibri" w:hAnsi="Calibri"/>
          <w:sz w:val="18"/>
          <w:szCs w:val="18"/>
          <w:lang w:val="tr-TR"/>
        </w:rPr>
        <w:t>Meclisce</w:t>
      </w:r>
      <w:proofErr w:type="spellEnd"/>
      <w:r w:rsidRPr="00DE7441">
        <w:rPr>
          <w:rFonts w:ascii="Calibri" w:hAnsi="Calibri"/>
          <w:sz w:val="18"/>
          <w:szCs w:val="18"/>
          <w:lang w:val="tr-TR"/>
        </w:rPr>
        <w:t xml:space="preserve"> başka bir karar alınmadıkça bunları Meclis dışında tekrarlamak ve açığa vurmaktan sorumlu tutulamazlar.</w:t>
      </w:r>
    </w:p>
    <w:p w:rsidR="004F7908" w:rsidRPr="00DE7441" w:rsidRDefault="004F7908" w:rsidP="009B2176">
      <w:pPr>
        <w:pStyle w:val="DipnotMetni"/>
        <w:rPr>
          <w:rFonts w:ascii="Calibri" w:hAnsi="Calibri"/>
          <w:sz w:val="18"/>
          <w:szCs w:val="18"/>
          <w:lang w:val="tr-TR"/>
        </w:rPr>
      </w:pPr>
      <w:r w:rsidRPr="00DE7441">
        <w:rPr>
          <w:rFonts w:ascii="Calibri" w:hAnsi="Calibri"/>
          <w:sz w:val="18"/>
          <w:szCs w:val="18"/>
          <w:lang w:val="tr-TR"/>
        </w:rPr>
        <w:t>Seçimden önce veya sonra bir suç işlediği ileri sürülen bir milletvekili, Meclisin kararı olmadıkça tutulamaz, sorguya çekilemez, tutuklanamaz ve yargılanamaz. Ağır cezayı gerektiren suçüstü hali ve seçimden önce soruşturmasına başlanılmış olmak kaydıyla Anayasanın 14 üncü maddesindeki durumlar bu hükmün dışındadır. Ancak, bu halde yetkili makam, durumu hemen ve doğrudan doğruya Türkiye Büyük Millet Meclisine bildirmek zorundadır.</w:t>
      </w:r>
    </w:p>
    <w:p w:rsidR="004F7908" w:rsidRPr="00DE7441" w:rsidRDefault="004F7908" w:rsidP="009B2176">
      <w:pPr>
        <w:pStyle w:val="DipnotMetni"/>
        <w:rPr>
          <w:rFonts w:ascii="Calibri" w:hAnsi="Calibri"/>
          <w:sz w:val="18"/>
          <w:szCs w:val="18"/>
          <w:lang w:val="tr-TR"/>
        </w:rPr>
      </w:pPr>
      <w:r w:rsidRPr="00DE7441">
        <w:rPr>
          <w:rFonts w:ascii="Calibri" w:hAnsi="Calibri"/>
          <w:sz w:val="18"/>
          <w:szCs w:val="18"/>
          <w:lang w:val="tr-TR"/>
        </w:rPr>
        <w:t>Türkiye Büyük Millet Meclisi üyesi hakkında, seçiminden önce veya sonra verilmiş bir ceza hükmünün yerine getirilmesi, üyelik sıfatının sona ermesine bırakılır; üyelik süresince zamanaşımı işlemez.</w:t>
      </w:r>
    </w:p>
    <w:p w:rsidR="004F7908" w:rsidRPr="00DE7441" w:rsidRDefault="004F7908" w:rsidP="009B2176">
      <w:pPr>
        <w:pStyle w:val="DipnotMetni"/>
        <w:rPr>
          <w:rFonts w:ascii="Calibri" w:hAnsi="Calibri"/>
          <w:sz w:val="18"/>
          <w:szCs w:val="18"/>
          <w:lang w:val="tr-TR"/>
        </w:rPr>
      </w:pPr>
      <w:r w:rsidRPr="00DE7441">
        <w:rPr>
          <w:rFonts w:ascii="Calibri" w:hAnsi="Calibri"/>
          <w:sz w:val="18"/>
          <w:szCs w:val="18"/>
          <w:lang w:val="tr-TR"/>
        </w:rPr>
        <w:t>Tekrar seçilen milletvekili hakkında soruşturma ve kovuşturma, Meclisin yeniden dokunulmazlığını kaldırmasına bağlıdır.</w:t>
      </w:r>
    </w:p>
    <w:p w:rsidR="004F7908" w:rsidRPr="00B867ED" w:rsidRDefault="004F7908" w:rsidP="00B867ED">
      <w:pPr>
        <w:pStyle w:val="DipnotMetni"/>
        <w:rPr>
          <w:rFonts w:ascii="Calibri" w:hAnsi="Calibri"/>
          <w:sz w:val="18"/>
          <w:szCs w:val="18"/>
          <w:lang w:val="tr-TR"/>
        </w:rPr>
      </w:pPr>
      <w:r w:rsidRPr="00DE7441">
        <w:rPr>
          <w:rFonts w:ascii="Calibri" w:hAnsi="Calibri"/>
          <w:sz w:val="18"/>
          <w:szCs w:val="18"/>
          <w:lang w:val="tr-TR"/>
        </w:rPr>
        <w:t>Türkiye Büyük Millet Meclisindeki siyasî parti gruplarınca, yasama dokunulmazlığı ile ilgili görüşme yapılamaz ve karar alınamaz.</w:t>
      </w:r>
    </w:p>
  </w:footnote>
  <w:footnote w:id="10">
    <w:p w:rsidR="004F7908" w:rsidRPr="00DE7441" w:rsidRDefault="004F7908">
      <w:pPr>
        <w:pStyle w:val="DipnotMetni"/>
        <w:rPr>
          <w:lang w:val="tr-TR"/>
        </w:rPr>
      </w:pPr>
      <w:r w:rsidRPr="00DE7441">
        <w:rPr>
          <w:rStyle w:val="DipnotBavurusu"/>
          <w:lang w:val="tr-TR"/>
        </w:rPr>
        <w:footnoteRef/>
      </w:r>
      <w:r w:rsidRPr="00DE7441">
        <w:rPr>
          <w:rFonts w:ascii="Calibri" w:hAnsi="Calibri"/>
          <w:sz w:val="18"/>
          <w:szCs w:val="18"/>
          <w:lang w:val="tr-TR"/>
        </w:rPr>
        <w:t>https://</w:t>
      </w:r>
      <w:proofErr w:type="gramStart"/>
      <w:r w:rsidRPr="00DE7441">
        <w:rPr>
          <w:rFonts w:ascii="Calibri" w:hAnsi="Calibri"/>
          <w:sz w:val="18"/>
          <w:szCs w:val="18"/>
          <w:lang w:val="tr-TR"/>
        </w:rPr>
        <w:t>global</w:t>
      </w:r>
      <w:proofErr w:type="gramEnd"/>
      <w:r w:rsidRPr="00DE7441">
        <w:rPr>
          <w:rFonts w:ascii="Calibri" w:hAnsi="Calibri"/>
          <w:sz w:val="18"/>
          <w:szCs w:val="18"/>
          <w:lang w:val="tr-TR"/>
        </w:rPr>
        <w:t>.tbmm.gov.tr/docs/rules_of_procedure_en.pdf.</w:t>
      </w:r>
    </w:p>
  </w:footnote>
  <w:footnote w:id="11">
    <w:p w:rsidR="004F7908" w:rsidRPr="00DE7441" w:rsidRDefault="004F7908" w:rsidP="00F33B50">
      <w:pPr>
        <w:pStyle w:val="DipnotMetni"/>
        <w:rPr>
          <w:rFonts w:ascii="Calibri" w:hAnsi="Calibri"/>
          <w:sz w:val="18"/>
          <w:szCs w:val="18"/>
          <w:lang w:val="tr-TR"/>
        </w:rPr>
      </w:pPr>
      <w:r w:rsidRPr="00DE7441">
        <w:rPr>
          <w:rStyle w:val="DipnotBavurusu"/>
          <w:lang w:val="tr-TR"/>
        </w:rPr>
        <w:footnoteRef/>
      </w:r>
      <w:r w:rsidRPr="00DE7441">
        <w:rPr>
          <w:rFonts w:ascii="Calibri" w:hAnsi="Calibri"/>
          <w:b/>
          <w:bCs/>
          <w:sz w:val="18"/>
          <w:szCs w:val="18"/>
          <w:lang w:val="tr-TR"/>
        </w:rPr>
        <w:t>İptal istemi</w:t>
      </w:r>
    </w:p>
    <w:p w:rsidR="004F7908" w:rsidRPr="00DE7441" w:rsidRDefault="004F7908" w:rsidP="00F33B50">
      <w:pPr>
        <w:pStyle w:val="DipnotMetni"/>
        <w:rPr>
          <w:rFonts w:ascii="Calibri" w:hAnsi="Calibri"/>
          <w:sz w:val="18"/>
          <w:szCs w:val="18"/>
          <w:lang w:val="tr-TR"/>
        </w:rPr>
      </w:pPr>
      <w:r w:rsidRPr="00DE7441">
        <w:rPr>
          <w:rFonts w:ascii="Calibri" w:hAnsi="Calibri"/>
          <w:b/>
          <w:bCs/>
          <w:sz w:val="18"/>
          <w:szCs w:val="18"/>
          <w:lang w:val="tr-TR"/>
        </w:rPr>
        <w:t>MADDE 85</w:t>
      </w:r>
      <w:r w:rsidRPr="00DE7441">
        <w:rPr>
          <w:rFonts w:ascii="Calibri" w:hAnsi="Calibri"/>
          <w:sz w:val="18"/>
          <w:szCs w:val="18"/>
          <w:lang w:val="tr-TR"/>
        </w:rPr>
        <w:t xml:space="preserve">. –Yasama dokunulmazlığının kaldırılmasına veya milletvekilliğinin düşmesine 84 üncü maddenin birinci, üçüncü veya dördüncü fıkralarına göre karar verilmiş olması hallerinde, Meclis Genel Kurulu kararının alındığı tarihten başlayarak yedi gün içerisinde ilgili milletvekili veya bir diğer milletvekili, kararın, Anayasaya, kanuna veya İçtüzüğe aykırılığı iddiasıyla iptali için Anayasa Mahkemesine başvurabilir. Anayasa Mahkemesi, iptal istemini </w:t>
      </w:r>
      <w:proofErr w:type="spellStart"/>
      <w:r w:rsidRPr="00DE7441">
        <w:rPr>
          <w:rFonts w:ascii="Calibri" w:hAnsi="Calibri"/>
          <w:sz w:val="18"/>
          <w:szCs w:val="18"/>
          <w:lang w:val="tr-TR"/>
        </w:rPr>
        <w:t>onbeş</w:t>
      </w:r>
      <w:proofErr w:type="spellEnd"/>
      <w:r w:rsidRPr="00DE7441">
        <w:rPr>
          <w:rFonts w:ascii="Calibri" w:hAnsi="Calibri"/>
          <w:sz w:val="18"/>
          <w:szCs w:val="18"/>
          <w:lang w:val="tr-TR"/>
        </w:rPr>
        <w:t xml:space="preserve"> gün içerisinde kesin karara bağlar.</w:t>
      </w:r>
    </w:p>
    <w:p w:rsidR="004F7908" w:rsidRPr="00DE7441" w:rsidRDefault="004F7908">
      <w:pPr>
        <w:pStyle w:val="DipnotMetni"/>
        <w:rPr>
          <w:rFonts w:ascii="Calibri" w:hAnsi="Calibri"/>
          <w:sz w:val="18"/>
          <w:szCs w:val="18"/>
          <w:lang w:val="tr-TR"/>
        </w:rPr>
      </w:pPr>
    </w:p>
  </w:footnote>
  <w:footnote w:id="12">
    <w:p w:rsidR="004F7908" w:rsidRPr="00DE7441" w:rsidRDefault="004F7908" w:rsidP="009D19C6">
      <w:pPr>
        <w:widowControl w:val="0"/>
        <w:autoSpaceDE w:val="0"/>
        <w:autoSpaceDN w:val="0"/>
        <w:adjustRightInd w:val="0"/>
        <w:spacing w:after="240"/>
        <w:rPr>
          <w:rFonts w:ascii="Times" w:hAnsi="Times" w:cs="Times"/>
          <w:lang w:val="tr-TR"/>
        </w:rPr>
      </w:pPr>
      <w:r w:rsidRPr="00DE7441">
        <w:rPr>
          <w:rStyle w:val="DipnotBavurusu"/>
          <w:lang w:val="tr-TR"/>
        </w:rPr>
        <w:footnoteRef/>
      </w:r>
      <w:r w:rsidRPr="00DE7441">
        <w:rPr>
          <w:rFonts w:ascii="Calibri" w:hAnsi="Calibri" w:cs="Arial"/>
          <w:sz w:val="18"/>
          <w:szCs w:val="18"/>
          <w:lang w:val="tr-TR"/>
        </w:rPr>
        <w:t xml:space="preserve">Anayasa Değişikliğinin giriş bölümünde kabul tarihinde 562 dosyanın beklediği </w:t>
      </w:r>
      <w:r w:rsidR="00B867ED">
        <w:rPr>
          <w:rFonts w:ascii="Calibri" w:hAnsi="Calibri" w:cs="Arial"/>
          <w:sz w:val="18"/>
          <w:szCs w:val="18"/>
          <w:lang w:val="tr-TR"/>
        </w:rPr>
        <w:t>i</w:t>
      </w:r>
      <w:r w:rsidRPr="00DE7441">
        <w:rPr>
          <w:rFonts w:ascii="Calibri" w:hAnsi="Calibri" w:cs="Arial"/>
          <w:sz w:val="18"/>
          <w:szCs w:val="18"/>
          <w:lang w:val="tr-TR"/>
        </w:rPr>
        <w:t xml:space="preserve">fade edilmektedir. Değişikliğin yürürlüğe girdiği tarihteki dosya sayısı çok daha yüksek görünmektedir ancak Komisyon heyeti nihai dosya sayısı ile ilgili bilgi alamamıştır. </w:t>
      </w:r>
    </w:p>
    <w:p w:rsidR="004F7908" w:rsidRPr="00DE7441" w:rsidRDefault="004F7908">
      <w:pPr>
        <w:pStyle w:val="DipnotMetni"/>
        <w:rPr>
          <w:lang w:val="tr-TR"/>
        </w:rPr>
      </w:pPr>
    </w:p>
  </w:footnote>
  <w:footnote w:id="13">
    <w:p w:rsidR="004F7908" w:rsidRPr="00DE7441" w:rsidRDefault="004F7908" w:rsidP="0049760F">
      <w:pPr>
        <w:pStyle w:val="DipnotMetni"/>
        <w:rPr>
          <w:rFonts w:ascii="Calibri" w:hAnsi="Calibri"/>
          <w:sz w:val="18"/>
          <w:szCs w:val="18"/>
          <w:lang w:val="tr-TR"/>
        </w:rPr>
      </w:pPr>
      <w:r w:rsidRPr="00DE7441">
        <w:rPr>
          <w:rStyle w:val="DipnotBavurusu"/>
          <w:lang w:val="tr-TR"/>
        </w:rPr>
        <w:footnoteRef/>
      </w:r>
      <w:r w:rsidRPr="00DE7441">
        <w:rPr>
          <w:rFonts w:ascii="Calibri" w:hAnsi="Calibri"/>
          <w:b/>
          <w:bCs/>
          <w:sz w:val="18"/>
          <w:szCs w:val="18"/>
          <w:lang w:val="tr-TR"/>
        </w:rPr>
        <w:t>Görev ve yetkileri</w:t>
      </w:r>
    </w:p>
    <w:p w:rsidR="004F7908" w:rsidRPr="00DE7441" w:rsidRDefault="004F7908" w:rsidP="0049760F">
      <w:pPr>
        <w:pStyle w:val="DipnotMetni"/>
        <w:rPr>
          <w:rFonts w:ascii="Calibri" w:hAnsi="Calibri"/>
          <w:sz w:val="18"/>
          <w:szCs w:val="18"/>
          <w:lang w:val="tr-TR"/>
        </w:rPr>
      </w:pPr>
      <w:r w:rsidRPr="00DE7441">
        <w:rPr>
          <w:rFonts w:ascii="Calibri" w:hAnsi="Calibri"/>
          <w:b/>
          <w:bCs/>
          <w:sz w:val="18"/>
          <w:szCs w:val="18"/>
          <w:lang w:val="tr-TR"/>
        </w:rPr>
        <w:t>MADDE 148</w:t>
      </w:r>
      <w:r w:rsidRPr="00DE7441">
        <w:rPr>
          <w:rFonts w:ascii="Calibri" w:hAnsi="Calibri"/>
          <w:sz w:val="18"/>
          <w:szCs w:val="18"/>
          <w:lang w:val="tr-TR"/>
        </w:rPr>
        <w:t xml:space="preserve">. – (Değişik: </w:t>
      </w:r>
      <w:proofErr w:type="gramStart"/>
      <w:r w:rsidRPr="00DE7441">
        <w:rPr>
          <w:rFonts w:ascii="Calibri" w:hAnsi="Calibri"/>
          <w:sz w:val="18"/>
          <w:szCs w:val="18"/>
          <w:lang w:val="tr-TR"/>
        </w:rPr>
        <w:t>12/9/2010</w:t>
      </w:r>
      <w:proofErr w:type="gramEnd"/>
      <w:r w:rsidRPr="00DE7441">
        <w:rPr>
          <w:rFonts w:ascii="Calibri" w:hAnsi="Calibri"/>
          <w:sz w:val="18"/>
          <w:szCs w:val="18"/>
          <w:lang w:val="tr-TR"/>
        </w:rPr>
        <w:t xml:space="preserve">-5982/18 </w:t>
      </w:r>
      <w:proofErr w:type="spellStart"/>
      <w:r w:rsidRPr="00DE7441">
        <w:rPr>
          <w:rFonts w:ascii="Calibri" w:hAnsi="Calibri"/>
          <w:sz w:val="18"/>
          <w:szCs w:val="18"/>
          <w:lang w:val="tr-TR"/>
        </w:rPr>
        <w:t>md.</w:t>
      </w:r>
      <w:proofErr w:type="spellEnd"/>
      <w:r w:rsidRPr="00DE7441">
        <w:rPr>
          <w:rFonts w:ascii="Calibri" w:hAnsi="Calibri"/>
          <w:sz w:val="18"/>
          <w:szCs w:val="18"/>
          <w:lang w:val="tr-TR"/>
        </w:rPr>
        <w:t xml:space="preserve">) Anayasa Mahkemesi, kanunların, kanun hükmünde kararnamelerin ve Türkiye Büyük Millet Meclisi İçtüzüğünün Anayasaya şekil ve esas bakımlarından uygunluğunu denetler ve bireysel başvuruları karara bağlar. Anayasa değişikliklerini ise sadece şekil bakımından inceler ve denetler. Ancak, olağanüstü hallerde, sıkıyönetim ve savaş hallerinde çıkarılan kanun hükmünde kararnamelerin şekil ve esas bakımından Anayasaya aykırılığı iddiasıyla, Anayasa Mahkemesinde dava açılamaz. </w:t>
      </w:r>
    </w:p>
    <w:p w:rsidR="004F7908" w:rsidRPr="00DE7441" w:rsidRDefault="004F7908" w:rsidP="0049760F">
      <w:pPr>
        <w:pStyle w:val="DipnotMetni"/>
        <w:rPr>
          <w:rFonts w:ascii="Calibri" w:hAnsi="Calibri"/>
          <w:sz w:val="18"/>
          <w:szCs w:val="18"/>
          <w:lang w:val="tr-TR"/>
        </w:rPr>
      </w:pPr>
      <w:r w:rsidRPr="00DE7441">
        <w:rPr>
          <w:rFonts w:ascii="Calibri" w:hAnsi="Calibri"/>
          <w:sz w:val="18"/>
          <w:szCs w:val="18"/>
          <w:lang w:val="tr-TR"/>
        </w:rPr>
        <w:t>Kanunların şekil bakımından denetlenmesi, son oylamanın, öngörülen çoğunlukla yapılıp yapılmadığı; Anayasa değişikliklerinde ise, teklif ve oylama çoğunluğuna ve ivedilikle görüşülemeyeceği şartına uyulup uyulmadığı hususları ile sınırlıdır. Şekil bakımından denetleme, Cumhurbaşkanınca veya Türkiye Büyük Millet Meclisi üyelerinin beşte biri tarafından istenebilir. Kanunun yayımlandığı tarihten itibaren on gün geçtikten sonra, şekil bozukluğuna dayalı iptal davası açılamaz; def’i yoluyla da ileri sürülemez.</w:t>
      </w:r>
    </w:p>
    <w:p w:rsidR="004F7908" w:rsidRPr="00DE7441" w:rsidRDefault="004F7908" w:rsidP="0049760F">
      <w:pPr>
        <w:pStyle w:val="DipnotMetni"/>
        <w:rPr>
          <w:rFonts w:ascii="Calibri" w:hAnsi="Calibri"/>
          <w:sz w:val="18"/>
          <w:szCs w:val="18"/>
          <w:lang w:val="tr-TR"/>
        </w:rPr>
      </w:pPr>
      <w:r w:rsidRPr="00DE7441">
        <w:rPr>
          <w:rFonts w:ascii="Calibri" w:hAnsi="Calibri"/>
          <w:sz w:val="18"/>
          <w:szCs w:val="18"/>
          <w:lang w:val="tr-TR"/>
        </w:rPr>
        <w:t xml:space="preserve">(Ek fıkra: </w:t>
      </w:r>
      <w:proofErr w:type="gramStart"/>
      <w:r w:rsidRPr="00DE7441">
        <w:rPr>
          <w:rFonts w:ascii="Calibri" w:hAnsi="Calibri"/>
          <w:sz w:val="18"/>
          <w:szCs w:val="18"/>
          <w:lang w:val="tr-TR"/>
        </w:rPr>
        <w:t>12/9/2010</w:t>
      </w:r>
      <w:proofErr w:type="gramEnd"/>
      <w:r w:rsidRPr="00DE7441">
        <w:rPr>
          <w:rFonts w:ascii="Calibri" w:hAnsi="Calibri"/>
          <w:sz w:val="18"/>
          <w:szCs w:val="18"/>
          <w:lang w:val="tr-TR"/>
        </w:rPr>
        <w:t xml:space="preserve">-5982/18 </w:t>
      </w:r>
      <w:proofErr w:type="spellStart"/>
      <w:r w:rsidRPr="00DE7441">
        <w:rPr>
          <w:rFonts w:ascii="Calibri" w:hAnsi="Calibri"/>
          <w:sz w:val="18"/>
          <w:szCs w:val="18"/>
          <w:lang w:val="tr-TR"/>
        </w:rPr>
        <w:t>md.</w:t>
      </w:r>
      <w:proofErr w:type="spellEnd"/>
      <w:r w:rsidRPr="00DE7441">
        <w:rPr>
          <w:rFonts w:ascii="Calibri" w:hAnsi="Calibri"/>
          <w:sz w:val="18"/>
          <w:szCs w:val="18"/>
          <w:lang w:val="tr-TR"/>
        </w:rPr>
        <w:t>) Herkes, Anayasada güvence altına alınmış temel hak ve özgürlüklerinden, Avrupa İnsan Hakları Sözleşmesi kapsamındaki herhangi birinin kamu gücü tarafından, ihlal edildiği iddiasıyla Anayasa Mahkemesine başvurabilir. Başvuruda bulunabilmek için olağan kanun yollarının tüketilmiş olması şarttır.</w:t>
      </w:r>
    </w:p>
    <w:p w:rsidR="004F7908" w:rsidRPr="00DE7441" w:rsidRDefault="004F7908" w:rsidP="0049760F">
      <w:pPr>
        <w:pStyle w:val="DipnotMetni"/>
        <w:rPr>
          <w:rFonts w:ascii="Calibri" w:hAnsi="Calibri"/>
          <w:sz w:val="18"/>
          <w:szCs w:val="18"/>
          <w:lang w:val="tr-TR"/>
        </w:rPr>
      </w:pPr>
      <w:r w:rsidRPr="00DE7441">
        <w:rPr>
          <w:rFonts w:ascii="Calibri" w:hAnsi="Calibri"/>
          <w:sz w:val="18"/>
          <w:szCs w:val="18"/>
          <w:lang w:val="tr-TR"/>
        </w:rPr>
        <w:t xml:space="preserve">(Ek fıkra: </w:t>
      </w:r>
      <w:proofErr w:type="gramStart"/>
      <w:r w:rsidRPr="00DE7441">
        <w:rPr>
          <w:rFonts w:ascii="Calibri" w:hAnsi="Calibri"/>
          <w:sz w:val="18"/>
          <w:szCs w:val="18"/>
          <w:lang w:val="tr-TR"/>
        </w:rPr>
        <w:t>12/9/2010</w:t>
      </w:r>
      <w:proofErr w:type="gramEnd"/>
      <w:r w:rsidRPr="00DE7441">
        <w:rPr>
          <w:rFonts w:ascii="Calibri" w:hAnsi="Calibri"/>
          <w:sz w:val="18"/>
          <w:szCs w:val="18"/>
          <w:lang w:val="tr-TR"/>
        </w:rPr>
        <w:t xml:space="preserve">-5982/18 </w:t>
      </w:r>
      <w:proofErr w:type="spellStart"/>
      <w:r w:rsidRPr="00DE7441">
        <w:rPr>
          <w:rFonts w:ascii="Calibri" w:hAnsi="Calibri"/>
          <w:sz w:val="18"/>
          <w:szCs w:val="18"/>
          <w:lang w:val="tr-TR"/>
        </w:rPr>
        <w:t>md.</w:t>
      </w:r>
      <w:proofErr w:type="spellEnd"/>
      <w:r w:rsidRPr="00DE7441">
        <w:rPr>
          <w:rFonts w:ascii="Calibri" w:hAnsi="Calibri"/>
          <w:sz w:val="18"/>
          <w:szCs w:val="18"/>
          <w:lang w:val="tr-TR"/>
        </w:rPr>
        <w:t>) Bireysel başvuruda, kanun yolunda gözetilmesi gereken hususlarda inceleme yapılamaz.</w:t>
      </w:r>
    </w:p>
    <w:p w:rsidR="004F7908" w:rsidRPr="00DE7441" w:rsidRDefault="004F7908" w:rsidP="0049760F">
      <w:pPr>
        <w:pStyle w:val="DipnotMetni"/>
        <w:rPr>
          <w:rFonts w:ascii="Calibri" w:hAnsi="Calibri"/>
          <w:sz w:val="18"/>
          <w:szCs w:val="18"/>
          <w:lang w:val="tr-TR"/>
        </w:rPr>
      </w:pPr>
      <w:r w:rsidRPr="00DE7441">
        <w:rPr>
          <w:rFonts w:ascii="Calibri" w:hAnsi="Calibri"/>
          <w:sz w:val="18"/>
          <w:szCs w:val="18"/>
          <w:lang w:val="tr-TR"/>
        </w:rPr>
        <w:t xml:space="preserve">(Ek fıkra: </w:t>
      </w:r>
      <w:proofErr w:type="gramStart"/>
      <w:r w:rsidRPr="00DE7441">
        <w:rPr>
          <w:rFonts w:ascii="Calibri" w:hAnsi="Calibri"/>
          <w:sz w:val="18"/>
          <w:szCs w:val="18"/>
          <w:lang w:val="tr-TR"/>
        </w:rPr>
        <w:t>12/9/2010</w:t>
      </w:r>
      <w:proofErr w:type="gramEnd"/>
      <w:r w:rsidRPr="00DE7441">
        <w:rPr>
          <w:rFonts w:ascii="Calibri" w:hAnsi="Calibri"/>
          <w:sz w:val="18"/>
          <w:szCs w:val="18"/>
          <w:lang w:val="tr-TR"/>
        </w:rPr>
        <w:t xml:space="preserve">-5982/18 </w:t>
      </w:r>
      <w:proofErr w:type="spellStart"/>
      <w:r w:rsidRPr="00DE7441">
        <w:rPr>
          <w:rFonts w:ascii="Calibri" w:hAnsi="Calibri"/>
          <w:sz w:val="18"/>
          <w:szCs w:val="18"/>
          <w:lang w:val="tr-TR"/>
        </w:rPr>
        <w:t>md.</w:t>
      </w:r>
      <w:proofErr w:type="spellEnd"/>
      <w:r w:rsidRPr="00DE7441">
        <w:rPr>
          <w:rFonts w:ascii="Calibri" w:hAnsi="Calibri"/>
          <w:sz w:val="18"/>
          <w:szCs w:val="18"/>
          <w:lang w:val="tr-TR"/>
        </w:rPr>
        <w:t>) Bireysel başvuruya ilişkin usul ve esaslar kanunla düzenlenir.</w:t>
      </w:r>
    </w:p>
    <w:p w:rsidR="004F7908" w:rsidRPr="00DE7441" w:rsidRDefault="004F7908" w:rsidP="0049760F">
      <w:pPr>
        <w:pStyle w:val="DipnotMetni"/>
        <w:rPr>
          <w:rFonts w:ascii="Calibri" w:hAnsi="Calibri"/>
          <w:sz w:val="18"/>
          <w:szCs w:val="18"/>
          <w:lang w:val="tr-TR"/>
        </w:rPr>
      </w:pPr>
      <w:r w:rsidRPr="00DE7441">
        <w:rPr>
          <w:rFonts w:ascii="Calibri" w:hAnsi="Calibri"/>
          <w:sz w:val="18"/>
          <w:szCs w:val="18"/>
          <w:lang w:val="tr-TR"/>
        </w:rPr>
        <w:t xml:space="preserve">(Değişik: </w:t>
      </w:r>
      <w:proofErr w:type="gramStart"/>
      <w:r w:rsidRPr="00DE7441">
        <w:rPr>
          <w:rFonts w:ascii="Calibri" w:hAnsi="Calibri"/>
          <w:sz w:val="18"/>
          <w:szCs w:val="18"/>
          <w:lang w:val="tr-TR"/>
        </w:rPr>
        <w:t>12/9/2010</w:t>
      </w:r>
      <w:proofErr w:type="gramEnd"/>
      <w:r w:rsidRPr="00DE7441">
        <w:rPr>
          <w:rFonts w:ascii="Calibri" w:hAnsi="Calibri"/>
          <w:sz w:val="18"/>
          <w:szCs w:val="18"/>
          <w:lang w:val="tr-TR"/>
        </w:rPr>
        <w:t xml:space="preserve">-5982/18 </w:t>
      </w:r>
      <w:proofErr w:type="spellStart"/>
      <w:r w:rsidRPr="00DE7441">
        <w:rPr>
          <w:rFonts w:ascii="Calibri" w:hAnsi="Calibri"/>
          <w:sz w:val="18"/>
          <w:szCs w:val="18"/>
          <w:lang w:val="tr-TR"/>
        </w:rPr>
        <w:t>md.</w:t>
      </w:r>
      <w:proofErr w:type="spellEnd"/>
      <w:r w:rsidRPr="00DE7441">
        <w:rPr>
          <w:rFonts w:ascii="Calibri" w:hAnsi="Calibri"/>
          <w:sz w:val="18"/>
          <w:szCs w:val="18"/>
          <w:lang w:val="tr-TR"/>
        </w:rPr>
        <w:t xml:space="preserve">) Anayasa Mahkemesi Cumhurbaşkanını, Türkiye Büyük Millet Meclisi Başkanını, Bakanlar Kurulu üyelerini, Anayasa Mahkemesi, Yargıtay, Danıştay, Askerî Yargıtay, Askerî Yüksek İdare Mahkemesi Başkan ve üyelerini, Başsavcılarını, Cumhuriyet </w:t>
      </w:r>
      <w:proofErr w:type="spellStart"/>
      <w:r w:rsidRPr="00DE7441">
        <w:rPr>
          <w:rFonts w:ascii="Calibri" w:hAnsi="Calibri"/>
          <w:sz w:val="18"/>
          <w:szCs w:val="18"/>
          <w:lang w:val="tr-TR"/>
        </w:rPr>
        <w:t>Başsavcıvekilini</w:t>
      </w:r>
      <w:proofErr w:type="spellEnd"/>
      <w:r w:rsidRPr="00DE7441">
        <w:rPr>
          <w:rFonts w:ascii="Calibri" w:hAnsi="Calibri"/>
          <w:sz w:val="18"/>
          <w:szCs w:val="18"/>
          <w:lang w:val="tr-TR"/>
        </w:rPr>
        <w:t>, Hâkimler ve Savcılar Yüksek Kurulu ve Sayıştay Başkan ve üyelerini görevleriyle ilgili suçlardan dolayı Yüce Divan sıfatıyla yargılar.</w:t>
      </w:r>
    </w:p>
    <w:p w:rsidR="004F7908" w:rsidRPr="00DE7441" w:rsidRDefault="004F7908" w:rsidP="0049760F">
      <w:pPr>
        <w:pStyle w:val="DipnotMetni"/>
        <w:rPr>
          <w:rFonts w:ascii="Calibri" w:hAnsi="Calibri"/>
          <w:sz w:val="18"/>
          <w:szCs w:val="18"/>
          <w:lang w:val="tr-TR"/>
        </w:rPr>
      </w:pPr>
      <w:r w:rsidRPr="00DE7441">
        <w:rPr>
          <w:rFonts w:ascii="Calibri" w:hAnsi="Calibri"/>
          <w:sz w:val="18"/>
          <w:szCs w:val="18"/>
          <w:lang w:val="tr-TR"/>
        </w:rPr>
        <w:t xml:space="preserve">(Ek fıkra: </w:t>
      </w:r>
      <w:proofErr w:type="gramStart"/>
      <w:r w:rsidRPr="00DE7441">
        <w:rPr>
          <w:rFonts w:ascii="Calibri" w:hAnsi="Calibri"/>
          <w:sz w:val="18"/>
          <w:szCs w:val="18"/>
          <w:lang w:val="tr-TR"/>
        </w:rPr>
        <w:t>12/9/2010</w:t>
      </w:r>
      <w:proofErr w:type="gramEnd"/>
      <w:r w:rsidRPr="00DE7441">
        <w:rPr>
          <w:rFonts w:ascii="Calibri" w:hAnsi="Calibri"/>
          <w:sz w:val="18"/>
          <w:szCs w:val="18"/>
          <w:lang w:val="tr-TR"/>
        </w:rPr>
        <w:t xml:space="preserve">-5982/18 </w:t>
      </w:r>
      <w:proofErr w:type="spellStart"/>
      <w:r w:rsidRPr="00DE7441">
        <w:rPr>
          <w:rFonts w:ascii="Calibri" w:hAnsi="Calibri"/>
          <w:sz w:val="18"/>
          <w:szCs w:val="18"/>
          <w:lang w:val="tr-TR"/>
        </w:rPr>
        <w:t>md.</w:t>
      </w:r>
      <w:proofErr w:type="spellEnd"/>
      <w:r w:rsidRPr="00DE7441">
        <w:rPr>
          <w:rFonts w:ascii="Calibri" w:hAnsi="Calibri"/>
          <w:sz w:val="18"/>
          <w:szCs w:val="18"/>
          <w:lang w:val="tr-TR"/>
        </w:rPr>
        <w:t>) Genelkurmay Başkanı, Kara, Deniz ve Hava Kuvvetleri Komutanları ile Jandarma Genel Komutanı da görevleriyle ilgili suçlardan dolayı Yüce Divanda yargılanırlar.</w:t>
      </w:r>
    </w:p>
    <w:p w:rsidR="004F7908" w:rsidRPr="00DE7441" w:rsidRDefault="004F7908" w:rsidP="0049760F">
      <w:pPr>
        <w:pStyle w:val="DipnotMetni"/>
        <w:rPr>
          <w:rFonts w:ascii="Calibri" w:hAnsi="Calibri"/>
          <w:sz w:val="18"/>
          <w:szCs w:val="18"/>
          <w:lang w:val="tr-TR"/>
        </w:rPr>
      </w:pPr>
      <w:r w:rsidRPr="00DE7441">
        <w:rPr>
          <w:rFonts w:ascii="Calibri" w:hAnsi="Calibri"/>
          <w:sz w:val="18"/>
          <w:szCs w:val="18"/>
          <w:lang w:val="tr-TR"/>
        </w:rPr>
        <w:t xml:space="preserve">Yüce Divanda, savcılık görevini Cumhuriyet Başsavcısı veya Cumhuriyet </w:t>
      </w:r>
      <w:proofErr w:type="spellStart"/>
      <w:r w:rsidRPr="00DE7441">
        <w:rPr>
          <w:rFonts w:ascii="Calibri" w:hAnsi="Calibri"/>
          <w:sz w:val="18"/>
          <w:szCs w:val="18"/>
          <w:lang w:val="tr-TR"/>
        </w:rPr>
        <w:t>Başsavcıvekili</w:t>
      </w:r>
      <w:proofErr w:type="spellEnd"/>
      <w:r w:rsidRPr="00DE7441">
        <w:rPr>
          <w:rFonts w:ascii="Calibri" w:hAnsi="Calibri"/>
          <w:sz w:val="18"/>
          <w:szCs w:val="18"/>
          <w:lang w:val="tr-TR"/>
        </w:rPr>
        <w:t xml:space="preserve"> yapar.</w:t>
      </w:r>
    </w:p>
    <w:p w:rsidR="004F7908" w:rsidRPr="00DE7441" w:rsidRDefault="004F7908" w:rsidP="0049760F">
      <w:pPr>
        <w:pStyle w:val="DipnotMetni"/>
        <w:rPr>
          <w:rFonts w:ascii="Calibri" w:hAnsi="Calibri"/>
          <w:sz w:val="18"/>
          <w:szCs w:val="18"/>
          <w:lang w:val="tr-TR"/>
        </w:rPr>
      </w:pPr>
      <w:r w:rsidRPr="00DE7441">
        <w:rPr>
          <w:rFonts w:ascii="Calibri" w:hAnsi="Calibri"/>
          <w:sz w:val="18"/>
          <w:szCs w:val="18"/>
          <w:lang w:val="tr-TR"/>
        </w:rPr>
        <w:t xml:space="preserve">(Değişik: </w:t>
      </w:r>
      <w:proofErr w:type="gramStart"/>
      <w:r w:rsidRPr="00DE7441">
        <w:rPr>
          <w:rFonts w:ascii="Calibri" w:hAnsi="Calibri"/>
          <w:sz w:val="18"/>
          <w:szCs w:val="18"/>
          <w:lang w:val="tr-TR"/>
        </w:rPr>
        <w:t>12/9/2010</w:t>
      </w:r>
      <w:proofErr w:type="gramEnd"/>
      <w:r w:rsidRPr="00DE7441">
        <w:rPr>
          <w:rFonts w:ascii="Calibri" w:hAnsi="Calibri"/>
          <w:sz w:val="18"/>
          <w:szCs w:val="18"/>
          <w:lang w:val="tr-TR"/>
        </w:rPr>
        <w:t xml:space="preserve">-5982/18 </w:t>
      </w:r>
      <w:proofErr w:type="spellStart"/>
      <w:r w:rsidRPr="00DE7441">
        <w:rPr>
          <w:rFonts w:ascii="Calibri" w:hAnsi="Calibri"/>
          <w:sz w:val="18"/>
          <w:szCs w:val="18"/>
          <w:lang w:val="tr-TR"/>
        </w:rPr>
        <w:t>md.</w:t>
      </w:r>
      <w:proofErr w:type="spellEnd"/>
      <w:r w:rsidRPr="00DE7441">
        <w:rPr>
          <w:rFonts w:ascii="Calibri" w:hAnsi="Calibri"/>
          <w:sz w:val="18"/>
          <w:szCs w:val="18"/>
          <w:lang w:val="tr-TR"/>
        </w:rPr>
        <w:t>) Yüce Divan kararlarına karşı yeniden inceleme başvurusu yapılabilir. Genel Kurulun yeniden inceleme sonucunda verdiği kararlar kesindir.</w:t>
      </w:r>
    </w:p>
    <w:p w:rsidR="004F7908" w:rsidRPr="00DE7441" w:rsidRDefault="004F7908" w:rsidP="0049760F">
      <w:pPr>
        <w:pStyle w:val="DipnotMetni"/>
        <w:rPr>
          <w:rFonts w:ascii="Calibri" w:hAnsi="Calibri"/>
          <w:sz w:val="18"/>
          <w:szCs w:val="18"/>
          <w:lang w:val="tr-TR"/>
        </w:rPr>
      </w:pPr>
      <w:r w:rsidRPr="00DE7441">
        <w:rPr>
          <w:rFonts w:ascii="Calibri" w:hAnsi="Calibri"/>
          <w:sz w:val="18"/>
          <w:szCs w:val="18"/>
          <w:lang w:val="tr-TR"/>
        </w:rPr>
        <w:t>Anayasa Mahkemesi, Anayasa ile verilen diğer görevleri de yerine getirir.</w:t>
      </w:r>
    </w:p>
    <w:p w:rsidR="004F7908" w:rsidRPr="00DE7441" w:rsidRDefault="004F7908">
      <w:pPr>
        <w:pStyle w:val="DipnotMetni"/>
        <w:rPr>
          <w:lang w:val="tr-TR"/>
        </w:rPr>
      </w:pPr>
    </w:p>
  </w:footnote>
  <w:footnote w:id="14">
    <w:p w:rsidR="004F7908" w:rsidRPr="00DE7441" w:rsidRDefault="004F7908">
      <w:pPr>
        <w:pStyle w:val="DipnotMetni"/>
        <w:rPr>
          <w:lang w:val="tr-TR"/>
        </w:rPr>
      </w:pPr>
      <w:r w:rsidRPr="00DE7441">
        <w:rPr>
          <w:rStyle w:val="DipnotBavurusu"/>
          <w:lang w:val="tr-TR"/>
        </w:rPr>
        <w:footnoteRef/>
      </w:r>
      <w:r w:rsidRPr="00DE7441">
        <w:rPr>
          <w:rFonts w:ascii="Calibri" w:hAnsi="Calibri"/>
          <w:sz w:val="18"/>
          <w:szCs w:val="18"/>
          <w:lang w:val="tr-TR"/>
        </w:rPr>
        <w:t xml:space="preserve">CDL-AD(2016)007, Hukukun Üstünlüğü Kontrol Listesi, bölüm </w:t>
      </w:r>
      <w:proofErr w:type="gramStart"/>
      <w:r w:rsidRPr="00DE7441">
        <w:rPr>
          <w:rFonts w:ascii="Calibri" w:hAnsi="Calibri"/>
          <w:sz w:val="18"/>
          <w:szCs w:val="18"/>
          <w:lang w:val="tr-TR"/>
        </w:rPr>
        <w:t>II.E</w:t>
      </w:r>
      <w:proofErr w:type="gramEnd"/>
      <w:r w:rsidRPr="00DE7441">
        <w:rPr>
          <w:rFonts w:ascii="Calibri" w:hAnsi="Calibri"/>
          <w:sz w:val="18"/>
          <w:szCs w:val="18"/>
          <w:lang w:val="tr-TR"/>
        </w:rPr>
        <w:t>.</w:t>
      </w:r>
    </w:p>
  </w:footnote>
  <w:footnote w:id="15">
    <w:p w:rsidR="004F7908" w:rsidRPr="00DE7441" w:rsidRDefault="004F7908">
      <w:pPr>
        <w:pStyle w:val="DipnotMetni"/>
        <w:rPr>
          <w:lang w:val="tr-TR"/>
        </w:rPr>
      </w:pPr>
      <w:r w:rsidRPr="00DE7441">
        <w:rPr>
          <w:rStyle w:val="DipnotBavurusu"/>
          <w:lang w:val="tr-TR"/>
        </w:rPr>
        <w:footnoteRef/>
      </w:r>
      <w:r w:rsidRPr="00DE7441">
        <w:rPr>
          <w:rFonts w:ascii="Calibri" w:hAnsi="Calibri"/>
          <w:sz w:val="18"/>
          <w:szCs w:val="18"/>
          <w:lang w:val="tr-TR"/>
        </w:rPr>
        <w:t xml:space="preserve">AİHM, </w:t>
      </w:r>
      <w:proofErr w:type="spellStart"/>
      <w:r w:rsidRPr="00DE7441">
        <w:rPr>
          <w:rFonts w:ascii="Calibri" w:hAnsi="Calibri"/>
          <w:sz w:val="18"/>
          <w:szCs w:val="18"/>
          <w:lang w:val="tr-TR"/>
        </w:rPr>
        <w:t>Castells</w:t>
      </w:r>
      <w:proofErr w:type="spellEnd"/>
      <w:r w:rsidRPr="00DE7441">
        <w:rPr>
          <w:rFonts w:ascii="Calibri" w:hAnsi="Calibri"/>
          <w:sz w:val="18"/>
          <w:szCs w:val="18"/>
          <w:lang w:val="tr-TR"/>
        </w:rPr>
        <w:t xml:space="preserve"> – İspanya davası, Başvuru </w:t>
      </w:r>
      <w:proofErr w:type="spellStart"/>
      <w:r w:rsidRPr="00DE7441">
        <w:rPr>
          <w:rFonts w:ascii="Calibri" w:hAnsi="Calibri"/>
          <w:sz w:val="18"/>
          <w:szCs w:val="18"/>
          <w:lang w:val="tr-TR"/>
        </w:rPr>
        <w:t>no</w:t>
      </w:r>
      <w:proofErr w:type="spellEnd"/>
      <w:r w:rsidRPr="00DE7441">
        <w:rPr>
          <w:rFonts w:ascii="Calibri" w:hAnsi="Calibri"/>
          <w:sz w:val="18"/>
          <w:szCs w:val="18"/>
          <w:lang w:val="tr-TR"/>
        </w:rPr>
        <w:t>. 11798/85, par. 42.</w:t>
      </w:r>
    </w:p>
  </w:footnote>
  <w:footnote w:id="16">
    <w:p w:rsidR="004F7908" w:rsidRPr="00DE7441" w:rsidRDefault="004F7908">
      <w:pPr>
        <w:pStyle w:val="DipnotMetni"/>
        <w:rPr>
          <w:lang w:val="tr-TR"/>
        </w:rPr>
      </w:pPr>
      <w:r w:rsidRPr="00DE7441">
        <w:rPr>
          <w:rStyle w:val="DipnotBavurusu"/>
          <w:lang w:val="tr-TR"/>
        </w:rPr>
        <w:footnoteRef/>
      </w:r>
      <w:r w:rsidRPr="00DE7441">
        <w:rPr>
          <w:rFonts w:ascii="Calibri" w:hAnsi="Calibri"/>
          <w:sz w:val="18"/>
          <w:szCs w:val="18"/>
          <w:lang w:val="tr-TR"/>
        </w:rPr>
        <w:t xml:space="preserve">AİHM, Kart – Türkiye davası, Başvuru </w:t>
      </w:r>
      <w:proofErr w:type="spellStart"/>
      <w:r w:rsidRPr="00DE7441">
        <w:rPr>
          <w:rFonts w:ascii="Calibri" w:hAnsi="Calibri"/>
          <w:sz w:val="18"/>
          <w:szCs w:val="18"/>
          <w:lang w:val="tr-TR"/>
        </w:rPr>
        <w:t>no</w:t>
      </w:r>
      <w:proofErr w:type="spellEnd"/>
      <w:r w:rsidRPr="00DE7441">
        <w:rPr>
          <w:rFonts w:ascii="Calibri" w:hAnsi="Calibri"/>
          <w:sz w:val="18"/>
          <w:szCs w:val="18"/>
          <w:lang w:val="tr-TR"/>
        </w:rPr>
        <w:t>. 8917/05, par. 88.</w:t>
      </w:r>
    </w:p>
  </w:footnote>
  <w:footnote w:id="17">
    <w:p w:rsidR="004F7908" w:rsidRPr="00DE7441" w:rsidRDefault="004F7908">
      <w:pPr>
        <w:pStyle w:val="DipnotMetni"/>
        <w:rPr>
          <w:rFonts w:ascii="Calibri" w:hAnsi="Calibri"/>
          <w:sz w:val="18"/>
          <w:szCs w:val="18"/>
          <w:lang w:val="tr-TR"/>
        </w:rPr>
      </w:pPr>
      <w:r w:rsidRPr="00DE7441">
        <w:rPr>
          <w:rStyle w:val="DipnotBavurusu"/>
          <w:lang w:val="tr-TR"/>
        </w:rPr>
        <w:footnoteRef/>
      </w:r>
      <w:r w:rsidRPr="00DE7441">
        <w:rPr>
          <w:rFonts w:ascii="Calibri" w:hAnsi="Calibri"/>
          <w:sz w:val="18"/>
          <w:szCs w:val="18"/>
          <w:lang w:val="tr-TR"/>
        </w:rPr>
        <w:t>Avrupa Konseyi, Bakanlar Komitesi, AİHM Kararlarının Uygulanmasının İzlenmesi, 13 Eylül 2016 tarihli CM/</w:t>
      </w:r>
      <w:proofErr w:type="spellStart"/>
      <w:r w:rsidRPr="00DE7441">
        <w:rPr>
          <w:rFonts w:ascii="Calibri" w:hAnsi="Calibri"/>
          <w:sz w:val="18"/>
          <w:szCs w:val="18"/>
          <w:lang w:val="tr-TR"/>
        </w:rPr>
        <w:t>Notes</w:t>
      </w:r>
      <w:proofErr w:type="spellEnd"/>
      <w:r w:rsidRPr="00DE7441">
        <w:rPr>
          <w:rFonts w:ascii="Calibri" w:hAnsi="Calibri"/>
          <w:sz w:val="18"/>
          <w:szCs w:val="18"/>
          <w:lang w:val="tr-TR"/>
        </w:rPr>
        <w:t xml:space="preserve">/1265/H46-29-rev (özel), 1265. Oturum, 20-22 Eylül 2016, H46-29 </w:t>
      </w:r>
      <w:proofErr w:type="spellStart"/>
      <w:r w:rsidRPr="00DE7441">
        <w:rPr>
          <w:rFonts w:ascii="Calibri" w:hAnsi="Calibri"/>
          <w:sz w:val="18"/>
          <w:szCs w:val="18"/>
          <w:lang w:val="tr-TR"/>
        </w:rPr>
        <w:t>Incal</w:t>
      </w:r>
      <w:proofErr w:type="spellEnd"/>
      <w:r w:rsidRPr="00DE7441">
        <w:rPr>
          <w:rFonts w:ascii="Calibri" w:hAnsi="Calibri"/>
          <w:sz w:val="18"/>
          <w:szCs w:val="18"/>
          <w:lang w:val="tr-TR"/>
        </w:rPr>
        <w:t xml:space="preserve"> ve </w:t>
      </w:r>
      <w:proofErr w:type="spellStart"/>
      <w:r w:rsidRPr="00DE7441">
        <w:rPr>
          <w:rFonts w:ascii="Calibri" w:hAnsi="Calibri"/>
          <w:sz w:val="18"/>
          <w:szCs w:val="18"/>
          <w:lang w:val="tr-TR"/>
        </w:rPr>
        <w:t>Gözel</w:t>
      </w:r>
      <w:proofErr w:type="spellEnd"/>
      <w:r w:rsidRPr="00DE7441">
        <w:rPr>
          <w:rFonts w:ascii="Calibri" w:hAnsi="Calibri"/>
          <w:sz w:val="18"/>
          <w:szCs w:val="18"/>
          <w:lang w:val="tr-TR"/>
        </w:rPr>
        <w:t xml:space="preserve"> ve Özer grubu – Türkiye, (Başvuru No. 22678/93, 43453/04), Referans belgeler</w:t>
      </w:r>
      <w:proofErr w:type="gramStart"/>
      <w:r w:rsidRPr="00DE7441">
        <w:rPr>
          <w:rFonts w:ascii="Calibri" w:hAnsi="Calibri"/>
          <w:sz w:val="18"/>
          <w:szCs w:val="18"/>
          <w:lang w:val="tr-TR"/>
        </w:rPr>
        <w:t>::</w:t>
      </w:r>
      <w:proofErr w:type="gramEnd"/>
      <w:r w:rsidRPr="00DE7441">
        <w:rPr>
          <w:rFonts w:ascii="Calibri" w:hAnsi="Calibri"/>
          <w:sz w:val="18"/>
          <w:szCs w:val="18"/>
          <w:lang w:val="tr-TR"/>
        </w:rPr>
        <w:t xml:space="preserve"> </w:t>
      </w:r>
      <w:proofErr w:type="spellStart"/>
      <w:r w:rsidRPr="00DE7441">
        <w:rPr>
          <w:rFonts w:ascii="Calibri" w:hAnsi="Calibri"/>
          <w:sz w:val="18"/>
          <w:szCs w:val="18"/>
          <w:lang w:val="tr-TR"/>
        </w:rPr>
        <w:t>ResDH</w:t>
      </w:r>
      <w:proofErr w:type="spellEnd"/>
      <w:r w:rsidRPr="00DE7441">
        <w:rPr>
          <w:rFonts w:ascii="Calibri" w:hAnsi="Calibri"/>
          <w:sz w:val="18"/>
          <w:szCs w:val="18"/>
          <w:lang w:val="tr-TR"/>
        </w:rPr>
        <w:t xml:space="preserve">(2004)38, </w:t>
      </w:r>
      <w:proofErr w:type="spellStart"/>
      <w:r w:rsidRPr="00DE7441">
        <w:rPr>
          <w:rFonts w:ascii="Calibri" w:hAnsi="Calibri"/>
          <w:sz w:val="18"/>
          <w:szCs w:val="18"/>
          <w:lang w:val="tr-TR"/>
        </w:rPr>
        <w:t>ResDH</w:t>
      </w:r>
      <w:proofErr w:type="spellEnd"/>
      <w:r w:rsidRPr="00DE7441">
        <w:rPr>
          <w:rFonts w:ascii="Calibri" w:hAnsi="Calibri"/>
          <w:sz w:val="18"/>
          <w:szCs w:val="18"/>
          <w:lang w:val="tr-TR"/>
        </w:rPr>
        <w:t>(2001)106, CM/</w:t>
      </w:r>
      <w:proofErr w:type="spellStart"/>
      <w:r w:rsidRPr="00DE7441">
        <w:rPr>
          <w:rFonts w:ascii="Calibri" w:hAnsi="Calibri"/>
          <w:sz w:val="18"/>
          <w:szCs w:val="18"/>
          <w:lang w:val="tr-TR"/>
        </w:rPr>
        <w:t>Inf</w:t>
      </w:r>
      <w:proofErr w:type="spellEnd"/>
      <w:r w:rsidRPr="00DE7441">
        <w:rPr>
          <w:rFonts w:ascii="Calibri" w:hAnsi="Calibri"/>
          <w:sz w:val="18"/>
          <w:szCs w:val="18"/>
          <w:lang w:val="tr-TR"/>
        </w:rPr>
        <w:t>(2003)43; CM/</w:t>
      </w:r>
      <w:proofErr w:type="spellStart"/>
      <w:r w:rsidRPr="00DE7441">
        <w:rPr>
          <w:rFonts w:ascii="Calibri" w:hAnsi="Calibri"/>
          <w:sz w:val="18"/>
          <w:szCs w:val="18"/>
          <w:lang w:val="tr-TR"/>
        </w:rPr>
        <w:t>Inf</w:t>
      </w:r>
      <w:proofErr w:type="spellEnd"/>
      <w:r w:rsidRPr="00DE7441">
        <w:rPr>
          <w:rFonts w:ascii="Calibri" w:hAnsi="Calibri"/>
          <w:sz w:val="18"/>
          <w:szCs w:val="18"/>
          <w:lang w:val="tr-TR"/>
        </w:rPr>
        <w:t>/DH(2008)26, DH-DD(2016)842, DH-DD(2015)447-rev, DH-DD(2014)502, CM/Del/</w:t>
      </w:r>
      <w:proofErr w:type="spellStart"/>
      <w:r w:rsidRPr="00DE7441">
        <w:rPr>
          <w:rFonts w:ascii="Calibri" w:hAnsi="Calibri"/>
          <w:sz w:val="18"/>
          <w:szCs w:val="18"/>
          <w:lang w:val="tr-TR"/>
        </w:rPr>
        <w:t>Dec</w:t>
      </w:r>
      <w:proofErr w:type="spellEnd"/>
      <w:r w:rsidRPr="00DE7441">
        <w:rPr>
          <w:rFonts w:ascii="Calibri" w:hAnsi="Calibri"/>
          <w:sz w:val="18"/>
          <w:szCs w:val="18"/>
          <w:lang w:val="tr-TR"/>
        </w:rPr>
        <w:t>(2015)1230/22</w:t>
      </w:r>
    </w:p>
  </w:footnote>
  <w:footnote w:id="18">
    <w:p w:rsidR="004F7908" w:rsidRPr="00DE7441" w:rsidRDefault="004F7908">
      <w:pPr>
        <w:pStyle w:val="DipnotMetni"/>
        <w:rPr>
          <w:lang w:val="tr-TR"/>
        </w:rPr>
      </w:pPr>
      <w:r w:rsidRPr="00DE7441">
        <w:rPr>
          <w:rStyle w:val="DipnotBavurusu"/>
          <w:lang w:val="tr-TR"/>
        </w:rPr>
        <w:footnoteRef/>
      </w:r>
      <w:r w:rsidRPr="00DE7441">
        <w:rPr>
          <w:rFonts w:ascii="Calibri" w:hAnsi="Calibri"/>
          <w:sz w:val="18"/>
          <w:szCs w:val="18"/>
          <w:lang w:val="tr-TR"/>
        </w:rPr>
        <w:t>CDL-AD(2016)002, par. 123</w:t>
      </w:r>
    </w:p>
  </w:footnote>
  <w:footnote w:id="19">
    <w:p w:rsidR="004F7908" w:rsidRPr="00DE7441" w:rsidRDefault="004F7908">
      <w:pPr>
        <w:pStyle w:val="DipnotMetni"/>
        <w:rPr>
          <w:rFonts w:ascii="Calibri" w:hAnsi="Calibri"/>
          <w:sz w:val="18"/>
          <w:szCs w:val="18"/>
          <w:lang w:val="tr-TR"/>
        </w:rPr>
      </w:pPr>
      <w:r w:rsidRPr="00DE7441">
        <w:rPr>
          <w:rStyle w:val="DipnotBavurusu"/>
          <w:lang w:val="tr-TR"/>
        </w:rPr>
        <w:footnoteRef/>
      </w:r>
      <w:r w:rsidRPr="00DE7441">
        <w:rPr>
          <w:rFonts w:ascii="Calibri" w:hAnsi="Calibri"/>
          <w:sz w:val="18"/>
          <w:szCs w:val="18"/>
          <w:lang w:val="tr-TR"/>
        </w:rPr>
        <w:t>Par 29, http://website-pace.net/documents/</w:t>
      </w:r>
      <w:proofErr w:type="gramStart"/>
      <w:r w:rsidRPr="00DE7441">
        <w:rPr>
          <w:rFonts w:ascii="Calibri" w:hAnsi="Calibri"/>
          <w:sz w:val="18"/>
          <w:szCs w:val="18"/>
          <w:lang w:val="tr-TR"/>
        </w:rPr>
        <w:t>19895/2436341/20160523</w:t>
      </w:r>
      <w:proofErr w:type="gramEnd"/>
      <w:r w:rsidRPr="00DE7441">
        <w:rPr>
          <w:rFonts w:ascii="Calibri" w:hAnsi="Calibri"/>
          <w:sz w:val="18"/>
          <w:szCs w:val="18"/>
          <w:lang w:val="tr-TR"/>
        </w:rPr>
        <w:t xml:space="preserve">-TurkishInstitutions-EN.pdf/cc4c76b9-1602-4d77-9038-e79aec4f9484  </w:t>
      </w:r>
    </w:p>
  </w:footnote>
  <w:footnote w:id="20">
    <w:p w:rsidR="004F7908" w:rsidRPr="00DE7441" w:rsidRDefault="004F7908">
      <w:pPr>
        <w:pStyle w:val="DipnotMetni"/>
        <w:rPr>
          <w:rFonts w:ascii="Calibri" w:hAnsi="Calibri"/>
          <w:sz w:val="18"/>
          <w:szCs w:val="18"/>
          <w:lang w:val="tr-TR"/>
        </w:rPr>
      </w:pPr>
      <w:r w:rsidRPr="00DE7441">
        <w:rPr>
          <w:rStyle w:val="DipnotBavurusu"/>
          <w:lang w:val="tr-TR"/>
        </w:rPr>
        <w:footnoteRef/>
      </w:r>
      <w:proofErr w:type="spellStart"/>
      <w:r w:rsidRPr="00DE7441">
        <w:rPr>
          <w:rFonts w:ascii="Calibri" w:hAnsi="Calibri"/>
          <w:sz w:val="18"/>
          <w:szCs w:val="18"/>
          <w:lang w:val="tr-TR"/>
        </w:rPr>
        <w:t>GrecoEval</w:t>
      </w:r>
      <w:proofErr w:type="spellEnd"/>
      <w:r w:rsidRPr="00DE7441">
        <w:rPr>
          <w:rFonts w:ascii="Calibri" w:hAnsi="Calibri"/>
          <w:sz w:val="18"/>
          <w:szCs w:val="18"/>
          <w:lang w:val="tr-TR"/>
        </w:rPr>
        <w:t xml:space="preserve"> IV </w:t>
      </w:r>
      <w:proofErr w:type="spellStart"/>
      <w:r w:rsidRPr="00DE7441">
        <w:rPr>
          <w:rFonts w:ascii="Calibri" w:hAnsi="Calibri"/>
          <w:sz w:val="18"/>
          <w:szCs w:val="18"/>
          <w:lang w:val="tr-TR"/>
        </w:rPr>
        <w:t>Rep</w:t>
      </w:r>
      <w:proofErr w:type="spellEnd"/>
      <w:r w:rsidRPr="00DE7441">
        <w:rPr>
          <w:rFonts w:ascii="Calibri" w:hAnsi="Calibri"/>
          <w:sz w:val="18"/>
          <w:szCs w:val="18"/>
          <w:lang w:val="tr-TR"/>
        </w:rPr>
        <w:t xml:space="preserve"> (2015) 3E, GRECO tarafından 69. Genel Oturumda kabul edilmiştir. (Strazburg, 12-16 Ekim 2015), http://www.coe.int/t/dghl/monitoring/greco/evaluations/round4/Eval%20IV/GrecoEval4Rep(2015)3_Turkey_EN.pdf.  </w:t>
      </w:r>
    </w:p>
  </w:footnote>
  <w:footnote w:id="21">
    <w:p w:rsidR="004F7908" w:rsidRPr="00DE7441" w:rsidRDefault="004F7908">
      <w:pPr>
        <w:pStyle w:val="DipnotMetni"/>
        <w:rPr>
          <w:lang w:val="tr-TR"/>
        </w:rPr>
      </w:pPr>
      <w:r w:rsidRPr="00DE7441">
        <w:rPr>
          <w:rStyle w:val="DipnotBavurusu"/>
          <w:lang w:val="tr-TR"/>
        </w:rPr>
        <w:footnoteRef/>
      </w:r>
      <w:r w:rsidRPr="00DE7441">
        <w:rPr>
          <w:rFonts w:ascii="Calibri" w:hAnsi="Calibri"/>
          <w:sz w:val="18"/>
          <w:szCs w:val="18"/>
          <w:lang w:val="tr-TR"/>
        </w:rPr>
        <w:t>http://www.coe.int/en/web/commissioner/-/turkey-security-trumping-human-rights-free-expression-under-threat?inheritRedirect=true&amp;redirect=%2Fen%2Fweb%2Fcommissioner%2Fcountry-report%2Fturkey.</w:t>
      </w:r>
    </w:p>
  </w:footnote>
  <w:footnote w:id="22">
    <w:p w:rsidR="004F7908" w:rsidRPr="00DE7441" w:rsidRDefault="004F7908">
      <w:pPr>
        <w:pStyle w:val="DipnotMetni"/>
        <w:rPr>
          <w:rFonts w:ascii="Calibri" w:hAnsi="Calibri"/>
          <w:sz w:val="18"/>
          <w:szCs w:val="18"/>
          <w:lang w:val="tr-TR"/>
        </w:rPr>
      </w:pPr>
      <w:r w:rsidRPr="00DE7441">
        <w:rPr>
          <w:rStyle w:val="DipnotBavurusu"/>
          <w:lang w:val="tr-TR"/>
        </w:rPr>
        <w:footnoteRef/>
      </w:r>
      <w:r w:rsidRPr="00DE7441">
        <w:rPr>
          <w:rFonts w:ascii="Calibri" w:hAnsi="Calibri"/>
          <w:sz w:val="18"/>
          <w:szCs w:val="18"/>
          <w:lang w:val="tr-TR"/>
        </w:rPr>
        <w:t xml:space="preserve">Bkz. AİHM, Mergen ve Diğerleri – Türkiye (başvuru </w:t>
      </w:r>
      <w:proofErr w:type="spellStart"/>
      <w:r w:rsidRPr="00DE7441">
        <w:rPr>
          <w:rFonts w:ascii="Calibri" w:hAnsi="Calibri"/>
          <w:sz w:val="18"/>
          <w:szCs w:val="18"/>
          <w:lang w:val="tr-TR"/>
        </w:rPr>
        <w:t>no</w:t>
      </w:r>
      <w:proofErr w:type="spellEnd"/>
      <w:r w:rsidRPr="00DE7441">
        <w:rPr>
          <w:rFonts w:ascii="Calibri" w:hAnsi="Calibri"/>
          <w:sz w:val="18"/>
          <w:szCs w:val="18"/>
          <w:lang w:val="tr-TR"/>
        </w:rPr>
        <w:t>. 44062/09, 55832/09, 55834/09, 55841/09 ve 55844/09) ve Ayşe Yüksel ve Diğerleri - Türkiye (</w:t>
      </w:r>
      <w:proofErr w:type="spellStart"/>
      <w:r w:rsidRPr="00DE7441">
        <w:rPr>
          <w:rFonts w:ascii="Calibri" w:hAnsi="Calibri"/>
          <w:sz w:val="18"/>
          <w:szCs w:val="18"/>
          <w:lang w:val="tr-TR"/>
        </w:rPr>
        <w:t>no</w:t>
      </w:r>
      <w:proofErr w:type="spellEnd"/>
      <w:r w:rsidRPr="00DE7441">
        <w:rPr>
          <w:rFonts w:ascii="Calibri" w:hAnsi="Calibri"/>
          <w:sz w:val="18"/>
          <w:szCs w:val="18"/>
          <w:lang w:val="tr-TR"/>
        </w:rPr>
        <w:t xml:space="preserve">. 55835/09, 55836/09 ve 55839/09)  </w:t>
      </w:r>
    </w:p>
  </w:footnote>
  <w:footnote w:id="23">
    <w:p w:rsidR="004F7908" w:rsidRPr="00DE7441" w:rsidRDefault="004F7908">
      <w:pPr>
        <w:pStyle w:val="DipnotMetni"/>
        <w:rPr>
          <w:lang w:val="tr-TR"/>
        </w:rPr>
      </w:pPr>
      <w:r w:rsidRPr="00DE7441">
        <w:rPr>
          <w:rStyle w:val="DipnotBavurusu"/>
          <w:rFonts w:ascii="Calibri" w:hAnsi="Calibri"/>
          <w:sz w:val="18"/>
          <w:szCs w:val="18"/>
          <w:lang w:val="tr-TR"/>
        </w:rPr>
        <w:footnoteRef/>
      </w:r>
      <w:r w:rsidRPr="00DE7441">
        <w:rPr>
          <w:rFonts w:ascii="Calibri" w:hAnsi="Calibri"/>
          <w:sz w:val="18"/>
          <w:szCs w:val="18"/>
          <w:lang w:val="tr-TR"/>
        </w:rPr>
        <w:t xml:space="preserve"> http://aa.com.tr/en/turkey/turkish-court-acquits-hundreds-in-sledgehammer-case/61933.</w:t>
      </w:r>
    </w:p>
  </w:footnote>
  <w:footnote w:id="24">
    <w:p w:rsidR="004F7908" w:rsidRPr="00DE7441" w:rsidRDefault="004F7908">
      <w:pPr>
        <w:pStyle w:val="DipnotMetni"/>
        <w:rPr>
          <w:rFonts w:ascii="Calibri" w:hAnsi="Calibri"/>
          <w:sz w:val="18"/>
          <w:szCs w:val="18"/>
          <w:lang w:val="tr-TR"/>
        </w:rPr>
      </w:pPr>
      <w:r w:rsidRPr="00DE7441">
        <w:rPr>
          <w:rStyle w:val="DipnotBavurusu"/>
          <w:rFonts w:ascii="Calibri" w:hAnsi="Calibri"/>
          <w:sz w:val="18"/>
          <w:szCs w:val="18"/>
          <w:lang w:val="tr-TR"/>
        </w:rPr>
        <w:footnoteRef/>
      </w:r>
      <w:r w:rsidRPr="00DE7441">
        <w:rPr>
          <w:rFonts w:ascii="Calibri" w:hAnsi="Calibri"/>
          <w:sz w:val="18"/>
          <w:szCs w:val="18"/>
          <w:lang w:val="tr-TR"/>
        </w:rPr>
        <w:t xml:space="preserve"> TC anayasa Mahkemesi, 2016/12 Sayı ve 4 Ağustos 2016 tarihli karar. </w:t>
      </w:r>
    </w:p>
  </w:footnote>
  <w:footnote w:id="25">
    <w:p w:rsidR="004F7908" w:rsidRPr="00DE7441" w:rsidRDefault="004F7908">
      <w:pPr>
        <w:pStyle w:val="DipnotMetni"/>
        <w:rPr>
          <w:lang w:val="tr-TR"/>
        </w:rPr>
      </w:pPr>
      <w:r w:rsidRPr="00DE7441">
        <w:rPr>
          <w:rStyle w:val="DipnotBavurusu"/>
          <w:lang w:val="tr-TR"/>
        </w:rPr>
        <w:footnoteRef/>
      </w:r>
      <w:r w:rsidRPr="00DE7441">
        <w:rPr>
          <w:rFonts w:ascii="Calibri" w:hAnsi="Calibri"/>
          <w:sz w:val="18"/>
          <w:szCs w:val="18"/>
          <w:lang w:val="tr-TR"/>
        </w:rPr>
        <w:t>31 Aralık 2002 tarihli Resmi Gazete</w:t>
      </w:r>
    </w:p>
  </w:footnote>
  <w:footnote w:id="26">
    <w:p w:rsidR="004F7908" w:rsidRPr="00DE7441" w:rsidRDefault="004F7908">
      <w:pPr>
        <w:pStyle w:val="DipnotMetni"/>
        <w:rPr>
          <w:lang w:val="tr-TR"/>
        </w:rPr>
      </w:pPr>
      <w:r w:rsidRPr="00DE7441">
        <w:rPr>
          <w:rStyle w:val="DipnotBavurusu"/>
          <w:lang w:val="tr-TR"/>
        </w:rPr>
        <w:footnoteRef/>
      </w:r>
      <w:r w:rsidRPr="00DE7441">
        <w:rPr>
          <w:rFonts w:ascii="Calibri" w:hAnsi="Calibri"/>
          <w:sz w:val="18"/>
          <w:szCs w:val="18"/>
          <w:lang w:val="tr-TR"/>
        </w:rPr>
        <w:t xml:space="preserve">11 Ekim 2001 tarihli Resmi </w:t>
      </w:r>
      <w:proofErr w:type="spellStart"/>
      <w:r w:rsidRPr="00DE7441">
        <w:rPr>
          <w:rFonts w:ascii="Calibri" w:hAnsi="Calibri"/>
          <w:sz w:val="18"/>
          <w:szCs w:val="18"/>
          <w:lang w:val="tr-TR"/>
        </w:rPr>
        <w:t>Gazete’de</w:t>
      </w:r>
      <w:proofErr w:type="spellEnd"/>
      <w:r w:rsidRPr="00DE7441">
        <w:rPr>
          <w:rFonts w:ascii="Calibri" w:hAnsi="Calibri"/>
          <w:sz w:val="18"/>
          <w:szCs w:val="18"/>
          <w:lang w:val="tr-TR"/>
        </w:rPr>
        <w:t xml:space="preserve"> yayımlanmıştır.</w:t>
      </w:r>
    </w:p>
  </w:footnote>
  <w:footnote w:id="27">
    <w:p w:rsidR="004F7908" w:rsidRPr="00DE7441" w:rsidRDefault="004F7908" w:rsidP="00780BAD">
      <w:pPr>
        <w:rPr>
          <w:rFonts w:ascii="Calibri" w:hAnsi="Calibri"/>
          <w:sz w:val="18"/>
          <w:szCs w:val="18"/>
          <w:lang w:val="tr-TR"/>
        </w:rPr>
      </w:pPr>
      <w:r w:rsidRPr="00DE7441">
        <w:rPr>
          <w:rStyle w:val="DipnotBavurusu"/>
          <w:lang w:val="tr-TR"/>
        </w:rPr>
        <w:footnoteRef/>
      </w:r>
      <w:r w:rsidRPr="00DE7441">
        <w:rPr>
          <w:rFonts w:ascii="Calibri" w:hAnsi="Calibri"/>
          <w:sz w:val="18"/>
          <w:szCs w:val="18"/>
          <w:lang w:val="tr-TR"/>
        </w:rPr>
        <w:t xml:space="preserve">Bağımsız adayların birleştirilmiş oy pusulalarına </w:t>
      </w:r>
      <w:proofErr w:type="gramStart"/>
      <w:r w:rsidRPr="00DE7441">
        <w:rPr>
          <w:rFonts w:ascii="Calibri" w:hAnsi="Calibri"/>
          <w:sz w:val="18"/>
          <w:szCs w:val="18"/>
          <w:lang w:val="tr-TR"/>
        </w:rPr>
        <w:t>dahil</w:t>
      </w:r>
      <w:proofErr w:type="gramEnd"/>
      <w:r w:rsidRPr="00DE7441">
        <w:rPr>
          <w:rFonts w:ascii="Calibri" w:hAnsi="Calibri"/>
          <w:sz w:val="18"/>
          <w:szCs w:val="18"/>
          <w:lang w:val="tr-TR"/>
        </w:rPr>
        <w:t xml:space="preserve"> edilmesi ile ilgili bu istisna Anayasa’nın 67 maddesinin son fıkrasının 10 Haziran 1983 tarih ve 2839 Sayılı Milletvekili Seçimleri Kanunu hükümlerine uygulanmasını hariç bırakmıştır.  </w:t>
      </w:r>
    </w:p>
    <w:p w:rsidR="004F7908" w:rsidRPr="00DE7441" w:rsidRDefault="004F7908">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B" w:rsidRPr="000D6A4B" w:rsidRDefault="000D6A4B">
    <w:pPr>
      <w:pStyle w:val="stbilgi"/>
      <w:rPr>
        <w:sz w:val="20"/>
        <w:szCs w:val="20"/>
      </w:rPr>
    </w:pPr>
    <w:r w:rsidRPr="000D6A4B">
      <w:rPr>
        <w:rFonts w:ascii="Arial" w:hAnsi="Arial" w:cs="Arial"/>
        <w:sz w:val="20"/>
        <w:szCs w:val="20"/>
      </w:rPr>
      <w:t>CDL-</w:t>
    </w:r>
    <w:proofErr w:type="gramStart"/>
    <w:r w:rsidRPr="000D6A4B">
      <w:rPr>
        <w:rFonts w:ascii="Arial" w:hAnsi="Arial" w:cs="Arial"/>
        <w:sz w:val="20"/>
        <w:szCs w:val="20"/>
      </w:rPr>
      <w:t>AD(</w:t>
    </w:r>
    <w:proofErr w:type="gramEnd"/>
    <w:r w:rsidRPr="000D6A4B">
      <w:rPr>
        <w:rFonts w:ascii="Arial" w:hAnsi="Arial" w:cs="Arial"/>
        <w:sz w:val="20"/>
        <w:szCs w:val="20"/>
      </w:rPr>
      <w:t>2016)027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33" w:rsidRDefault="00F160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A25443"/>
    <w:multiLevelType w:val="hybridMultilevel"/>
    <w:tmpl w:val="4E707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5906"/>
    <w:rsid w:val="00013522"/>
    <w:rsid w:val="000250E2"/>
    <w:rsid w:val="0003469C"/>
    <w:rsid w:val="00047663"/>
    <w:rsid w:val="000603B8"/>
    <w:rsid w:val="000717EA"/>
    <w:rsid w:val="00085873"/>
    <w:rsid w:val="000A19CF"/>
    <w:rsid w:val="000D6A4B"/>
    <w:rsid w:val="000F570E"/>
    <w:rsid w:val="00116A64"/>
    <w:rsid w:val="00144457"/>
    <w:rsid w:val="00160678"/>
    <w:rsid w:val="00195725"/>
    <w:rsid w:val="001B6260"/>
    <w:rsid w:val="00210A34"/>
    <w:rsid w:val="002130BE"/>
    <w:rsid w:val="002173DF"/>
    <w:rsid w:val="002233A2"/>
    <w:rsid w:val="00223DEB"/>
    <w:rsid w:val="00225134"/>
    <w:rsid w:val="00233815"/>
    <w:rsid w:val="00237D04"/>
    <w:rsid w:val="00243169"/>
    <w:rsid w:val="00250CF3"/>
    <w:rsid w:val="00280E86"/>
    <w:rsid w:val="00291F26"/>
    <w:rsid w:val="002A4F2C"/>
    <w:rsid w:val="002D1783"/>
    <w:rsid w:val="003265EE"/>
    <w:rsid w:val="003568C3"/>
    <w:rsid w:val="003647B6"/>
    <w:rsid w:val="003A0824"/>
    <w:rsid w:val="003A7808"/>
    <w:rsid w:val="003B526E"/>
    <w:rsid w:val="003B696B"/>
    <w:rsid w:val="003C037A"/>
    <w:rsid w:val="003C09F1"/>
    <w:rsid w:val="003E23F6"/>
    <w:rsid w:val="003E30D7"/>
    <w:rsid w:val="003F116F"/>
    <w:rsid w:val="003F5445"/>
    <w:rsid w:val="00412F9C"/>
    <w:rsid w:val="00413F77"/>
    <w:rsid w:val="004329B0"/>
    <w:rsid w:val="004548EB"/>
    <w:rsid w:val="0046275A"/>
    <w:rsid w:val="00483F48"/>
    <w:rsid w:val="0049760F"/>
    <w:rsid w:val="004B0E89"/>
    <w:rsid w:val="004F7908"/>
    <w:rsid w:val="005041DD"/>
    <w:rsid w:val="0051504C"/>
    <w:rsid w:val="00537BF7"/>
    <w:rsid w:val="005433BE"/>
    <w:rsid w:val="00552542"/>
    <w:rsid w:val="00555A02"/>
    <w:rsid w:val="00556E3D"/>
    <w:rsid w:val="00572974"/>
    <w:rsid w:val="00576986"/>
    <w:rsid w:val="00591CC2"/>
    <w:rsid w:val="005B3BA5"/>
    <w:rsid w:val="005B6B3E"/>
    <w:rsid w:val="005C616A"/>
    <w:rsid w:val="00600B7A"/>
    <w:rsid w:val="00603813"/>
    <w:rsid w:val="00605DC0"/>
    <w:rsid w:val="00643056"/>
    <w:rsid w:val="006439E1"/>
    <w:rsid w:val="00695271"/>
    <w:rsid w:val="006972D6"/>
    <w:rsid w:val="006B3924"/>
    <w:rsid w:val="00712814"/>
    <w:rsid w:val="00721915"/>
    <w:rsid w:val="0072699A"/>
    <w:rsid w:val="007317FE"/>
    <w:rsid w:val="0073779D"/>
    <w:rsid w:val="00745328"/>
    <w:rsid w:val="00780BAD"/>
    <w:rsid w:val="0078127C"/>
    <w:rsid w:val="007A3B11"/>
    <w:rsid w:val="007A5703"/>
    <w:rsid w:val="007B4F14"/>
    <w:rsid w:val="007B7899"/>
    <w:rsid w:val="007C6B80"/>
    <w:rsid w:val="007D197A"/>
    <w:rsid w:val="007D76CE"/>
    <w:rsid w:val="008342F9"/>
    <w:rsid w:val="008465DB"/>
    <w:rsid w:val="00853A64"/>
    <w:rsid w:val="00880D73"/>
    <w:rsid w:val="00881185"/>
    <w:rsid w:val="008841C0"/>
    <w:rsid w:val="00893B89"/>
    <w:rsid w:val="008A1107"/>
    <w:rsid w:val="008D264C"/>
    <w:rsid w:val="008D4E5A"/>
    <w:rsid w:val="00902D41"/>
    <w:rsid w:val="00905274"/>
    <w:rsid w:val="009079DA"/>
    <w:rsid w:val="009270A8"/>
    <w:rsid w:val="0094162F"/>
    <w:rsid w:val="0094527F"/>
    <w:rsid w:val="00970CFD"/>
    <w:rsid w:val="00972A2A"/>
    <w:rsid w:val="00993491"/>
    <w:rsid w:val="00995154"/>
    <w:rsid w:val="009A391E"/>
    <w:rsid w:val="009A7F75"/>
    <w:rsid w:val="009B2176"/>
    <w:rsid w:val="009D19C6"/>
    <w:rsid w:val="009E1F6D"/>
    <w:rsid w:val="009E5D96"/>
    <w:rsid w:val="009F6990"/>
    <w:rsid w:val="00A068A0"/>
    <w:rsid w:val="00A17A25"/>
    <w:rsid w:val="00A447CF"/>
    <w:rsid w:val="00A84787"/>
    <w:rsid w:val="00AB0B7C"/>
    <w:rsid w:val="00AB49D1"/>
    <w:rsid w:val="00AC5906"/>
    <w:rsid w:val="00AC7633"/>
    <w:rsid w:val="00AF1E61"/>
    <w:rsid w:val="00AF2581"/>
    <w:rsid w:val="00AF40E0"/>
    <w:rsid w:val="00B0761E"/>
    <w:rsid w:val="00B10091"/>
    <w:rsid w:val="00B132D7"/>
    <w:rsid w:val="00B33395"/>
    <w:rsid w:val="00B424AB"/>
    <w:rsid w:val="00B63A17"/>
    <w:rsid w:val="00B867ED"/>
    <w:rsid w:val="00B87892"/>
    <w:rsid w:val="00BA7D22"/>
    <w:rsid w:val="00BC0DB5"/>
    <w:rsid w:val="00BC1A2E"/>
    <w:rsid w:val="00BC7DC2"/>
    <w:rsid w:val="00C020AD"/>
    <w:rsid w:val="00C03B73"/>
    <w:rsid w:val="00C345FD"/>
    <w:rsid w:val="00C435D0"/>
    <w:rsid w:val="00C4383F"/>
    <w:rsid w:val="00C53881"/>
    <w:rsid w:val="00C75136"/>
    <w:rsid w:val="00C75175"/>
    <w:rsid w:val="00C918B1"/>
    <w:rsid w:val="00CB783A"/>
    <w:rsid w:val="00CF2854"/>
    <w:rsid w:val="00CF5273"/>
    <w:rsid w:val="00D06A17"/>
    <w:rsid w:val="00D30E92"/>
    <w:rsid w:val="00D35A1C"/>
    <w:rsid w:val="00D74634"/>
    <w:rsid w:val="00D97738"/>
    <w:rsid w:val="00DA46DA"/>
    <w:rsid w:val="00DC224F"/>
    <w:rsid w:val="00DC27A1"/>
    <w:rsid w:val="00DE7441"/>
    <w:rsid w:val="00E04A5E"/>
    <w:rsid w:val="00E13369"/>
    <w:rsid w:val="00E23547"/>
    <w:rsid w:val="00E373B5"/>
    <w:rsid w:val="00E60F78"/>
    <w:rsid w:val="00EB7853"/>
    <w:rsid w:val="00ED2B76"/>
    <w:rsid w:val="00F16033"/>
    <w:rsid w:val="00F16D1B"/>
    <w:rsid w:val="00F207AE"/>
    <w:rsid w:val="00F33B50"/>
    <w:rsid w:val="00F57618"/>
    <w:rsid w:val="00F6564E"/>
    <w:rsid w:val="00F738E4"/>
    <w:rsid w:val="00F75E8E"/>
    <w:rsid w:val="00F8778D"/>
    <w:rsid w:val="00F93B8B"/>
    <w:rsid w:val="00F944F6"/>
    <w:rsid w:val="00FB0051"/>
    <w:rsid w:val="00FB0D5B"/>
    <w:rsid w:val="00FB2942"/>
    <w:rsid w:val="00FB332C"/>
    <w:rsid w:val="00FB3CE2"/>
    <w:rsid w:val="00FC4B1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8B"/>
  </w:style>
  <w:style w:type="paragraph" w:styleId="Balk1">
    <w:name w:val="heading 1"/>
    <w:basedOn w:val="Normal"/>
    <w:next w:val="Normal"/>
    <w:link w:val="Balk1Char"/>
    <w:autoRedefine/>
    <w:uiPriority w:val="9"/>
    <w:qFormat/>
    <w:rsid w:val="002130BE"/>
    <w:pPr>
      <w:keepNext/>
      <w:keepLines/>
      <w:spacing w:before="480"/>
      <w:outlineLvl w:val="0"/>
    </w:pPr>
    <w:rPr>
      <w:rFonts w:asciiTheme="majorHAnsi" w:eastAsiaTheme="majorEastAsia" w:hAnsiTheme="majorHAnsi" w:cstheme="majorBidi"/>
      <w:b/>
      <w:bCs/>
      <w:szCs w:val="32"/>
      <w:lang w:val="tr-TR"/>
    </w:rPr>
  </w:style>
  <w:style w:type="paragraph" w:styleId="Balk2">
    <w:name w:val="heading 2"/>
    <w:basedOn w:val="Normal"/>
    <w:next w:val="Normal"/>
    <w:link w:val="Balk2Char"/>
    <w:uiPriority w:val="9"/>
    <w:unhideWhenUsed/>
    <w:qFormat/>
    <w:rsid w:val="002130BE"/>
    <w:pPr>
      <w:keepNext/>
      <w:keepLines/>
      <w:spacing w:before="200"/>
      <w:outlineLvl w:val="1"/>
    </w:pPr>
    <w:rPr>
      <w:rFonts w:asciiTheme="majorHAnsi" w:eastAsiaTheme="majorEastAsia" w:hAnsiTheme="majorHAnsi" w:cstheme="majorBidi"/>
      <w:b/>
      <w:bCs/>
      <w:sz w:val="2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9B2176"/>
  </w:style>
  <w:style w:type="character" w:customStyle="1" w:styleId="DipnotMetniChar">
    <w:name w:val="Dipnot Metni Char"/>
    <w:basedOn w:val="VarsaylanParagrafYazTipi"/>
    <w:link w:val="DipnotMetni"/>
    <w:uiPriority w:val="99"/>
    <w:rsid w:val="009B2176"/>
  </w:style>
  <w:style w:type="character" w:styleId="DipnotBavurusu">
    <w:name w:val="footnote reference"/>
    <w:basedOn w:val="VarsaylanParagrafYazTipi"/>
    <w:uiPriority w:val="99"/>
    <w:unhideWhenUsed/>
    <w:rsid w:val="009B2176"/>
    <w:rPr>
      <w:vertAlign w:val="superscript"/>
    </w:rPr>
  </w:style>
  <w:style w:type="paragraph" w:styleId="NormalWeb">
    <w:name w:val="Normal (Web)"/>
    <w:basedOn w:val="Normal"/>
    <w:uiPriority w:val="99"/>
    <w:semiHidden/>
    <w:unhideWhenUsed/>
    <w:rsid w:val="009B2176"/>
    <w:rPr>
      <w:rFonts w:ascii="Times New Roman" w:hAnsi="Times New Roman" w:cs="Times New Roman"/>
    </w:rPr>
  </w:style>
  <w:style w:type="paragraph" w:styleId="BalonMetni">
    <w:name w:val="Balloon Text"/>
    <w:basedOn w:val="Normal"/>
    <w:link w:val="BalonMetniChar"/>
    <w:uiPriority w:val="99"/>
    <w:semiHidden/>
    <w:unhideWhenUsed/>
    <w:rsid w:val="008465D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465DB"/>
    <w:rPr>
      <w:rFonts w:ascii="Lucida Grande" w:hAnsi="Lucida Grande" w:cs="Lucida Grande"/>
      <w:sz w:val="18"/>
      <w:szCs w:val="18"/>
    </w:rPr>
  </w:style>
  <w:style w:type="table" w:styleId="TabloKlavuzu">
    <w:name w:val="Table Grid"/>
    <w:basedOn w:val="NormalTablo"/>
    <w:uiPriority w:val="59"/>
    <w:rsid w:val="00737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2130BE"/>
    <w:rPr>
      <w:rFonts w:asciiTheme="majorHAnsi" w:eastAsiaTheme="majorEastAsia" w:hAnsiTheme="majorHAnsi" w:cstheme="majorBidi"/>
      <w:b/>
      <w:bCs/>
      <w:szCs w:val="32"/>
      <w:lang w:val="tr-TR"/>
    </w:rPr>
  </w:style>
  <w:style w:type="character" w:customStyle="1" w:styleId="Balk2Char">
    <w:name w:val="Başlık 2 Char"/>
    <w:basedOn w:val="VarsaylanParagrafYazTipi"/>
    <w:link w:val="Balk2"/>
    <w:uiPriority w:val="9"/>
    <w:rsid w:val="002130BE"/>
    <w:rPr>
      <w:rFonts w:asciiTheme="majorHAnsi" w:eastAsiaTheme="majorEastAsia" w:hAnsiTheme="majorHAnsi" w:cstheme="majorBidi"/>
      <w:b/>
      <w:bCs/>
      <w:sz w:val="22"/>
      <w:szCs w:val="26"/>
    </w:rPr>
  </w:style>
  <w:style w:type="paragraph" w:styleId="T1">
    <w:name w:val="toc 1"/>
    <w:basedOn w:val="Normal"/>
    <w:next w:val="Normal"/>
    <w:autoRedefine/>
    <w:uiPriority w:val="39"/>
    <w:unhideWhenUsed/>
    <w:rsid w:val="002130BE"/>
    <w:pPr>
      <w:spacing w:after="100"/>
    </w:pPr>
  </w:style>
  <w:style w:type="paragraph" w:styleId="T2">
    <w:name w:val="toc 2"/>
    <w:basedOn w:val="Normal"/>
    <w:next w:val="Normal"/>
    <w:autoRedefine/>
    <w:uiPriority w:val="39"/>
    <w:unhideWhenUsed/>
    <w:rsid w:val="002130BE"/>
    <w:pPr>
      <w:spacing w:after="100"/>
      <w:ind w:left="240"/>
    </w:pPr>
  </w:style>
  <w:style w:type="paragraph" w:styleId="Altbilgi">
    <w:name w:val="footer"/>
    <w:basedOn w:val="Normal"/>
    <w:link w:val="AltbilgiChar"/>
    <w:uiPriority w:val="99"/>
    <w:unhideWhenUsed/>
    <w:rsid w:val="000D6A4B"/>
    <w:pPr>
      <w:tabs>
        <w:tab w:val="center" w:pos="4320"/>
        <w:tab w:val="right" w:pos="8640"/>
      </w:tabs>
    </w:pPr>
  </w:style>
  <w:style w:type="character" w:customStyle="1" w:styleId="AltbilgiChar">
    <w:name w:val="Altbilgi Char"/>
    <w:basedOn w:val="VarsaylanParagrafYazTipi"/>
    <w:link w:val="Altbilgi"/>
    <w:uiPriority w:val="99"/>
    <w:rsid w:val="000D6A4B"/>
  </w:style>
  <w:style w:type="character" w:styleId="SayfaNumaras">
    <w:name w:val="page number"/>
    <w:basedOn w:val="VarsaylanParagrafYazTipi"/>
    <w:uiPriority w:val="99"/>
    <w:semiHidden/>
    <w:unhideWhenUsed/>
    <w:rsid w:val="000D6A4B"/>
  </w:style>
  <w:style w:type="paragraph" w:styleId="stbilgi">
    <w:name w:val="header"/>
    <w:basedOn w:val="Normal"/>
    <w:link w:val="stbilgiChar"/>
    <w:uiPriority w:val="99"/>
    <w:unhideWhenUsed/>
    <w:rsid w:val="000D6A4B"/>
    <w:pPr>
      <w:tabs>
        <w:tab w:val="center" w:pos="4320"/>
        <w:tab w:val="right" w:pos="8640"/>
      </w:tabs>
    </w:pPr>
  </w:style>
  <w:style w:type="character" w:customStyle="1" w:styleId="stbilgiChar">
    <w:name w:val="Üstbilgi Char"/>
    <w:basedOn w:val="VarsaylanParagrafYazTipi"/>
    <w:link w:val="stbilgi"/>
    <w:uiPriority w:val="99"/>
    <w:rsid w:val="000D6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2130BE"/>
    <w:pPr>
      <w:keepNext/>
      <w:keepLines/>
      <w:spacing w:before="480"/>
      <w:outlineLvl w:val="0"/>
    </w:pPr>
    <w:rPr>
      <w:rFonts w:asciiTheme="majorHAnsi" w:eastAsiaTheme="majorEastAsia" w:hAnsiTheme="majorHAnsi" w:cstheme="majorBidi"/>
      <w:b/>
      <w:bCs/>
      <w:szCs w:val="32"/>
      <w:lang w:val="tr-TR"/>
    </w:rPr>
  </w:style>
  <w:style w:type="paragraph" w:styleId="Balk2">
    <w:name w:val="heading 2"/>
    <w:basedOn w:val="Normal"/>
    <w:next w:val="Normal"/>
    <w:link w:val="Balk2Char"/>
    <w:uiPriority w:val="9"/>
    <w:unhideWhenUsed/>
    <w:qFormat/>
    <w:rsid w:val="002130BE"/>
    <w:pPr>
      <w:keepNext/>
      <w:keepLines/>
      <w:spacing w:before="200"/>
      <w:outlineLvl w:val="1"/>
    </w:pPr>
    <w:rPr>
      <w:rFonts w:asciiTheme="majorHAnsi" w:eastAsiaTheme="majorEastAsia" w:hAnsiTheme="majorHAnsi" w:cstheme="majorBidi"/>
      <w:b/>
      <w:bCs/>
      <w:sz w:val="2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9B2176"/>
  </w:style>
  <w:style w:type="character" w:customStyle="1" w:styleId="DipnotMetniChar">
    <w:name w:val="Footnote Text Char"/>
    <w:basedOn w:val="VarsaylanParagrafYazTipi"/>
    <w:link w:val="DipnotMetni"/>
    <w:uiPriority w:val="99"/>
    <w:rsid w:val="009B2176"/>
  </w:style>
  <w:style w:type="character" w:styleId="DipnotBavurusu">
    <w:name w:val="footnote reference"/>
    <w:basedOn w:val="VarsaylanParagrafYazTipi"/>
    <w:uiPriority w:val="99"/>
    <w:unhideWhenUsed/>
    <w:rsid w:val="009B2176"/>
    <w:rPr>
      <w:vertAlign w:val="superscript"/>
    </w:rPr>
  </w:style>
  <w:style w:type="paragraph" w:styleId="NormalWeb">
    <w:name w:val="Normal (Web)"/>
    <w:basedOn w:val="Normal"/>
    <w:uiPriority w:val="99"/>
    <w:semiHidden/>
    <w:unhideWhenUsed/>
    <w:rsid w:val="009B2176"/>
    <w:rPr>
      <w:rFonts w:ascii="Times New Roman" w:hAnsi="Times New Roman" w:cs="Times New Roman"/>
    </w:rPr>
  </w:style>
  <w:style w:type="paragraph" w:styleId="BalonMetni">
    <w:name w:val="Balloon Text"/>
    <w:basedOn w:val="Normal"/>
    <w:link w:val="BalonMetniChar"/>
    <w:uiPriority w:val="99"/>
    <w:semiHidden/>
    <w:unhideWhenUsed/>
    <w:rsid w:val="008465DB"/>
    <w:rPr>
      <w:rFonts w:ascii="Lucida Grande" w:hAnsi="Lucida Grande" w:cs="Lucida Grande"/>
      <w:sz w:val="18"/>
      <w:szCs w:val="18"/>
    </w:rPr>
  </w:style>
  <w:style w:type="character" w:customStyle="1" w:styleId="BalonMetniChar">
    <w:name w:val="Balloon Text Char"/>
    <w:basedOn w:val="VarsaylanParagrafYazTipi"/>
    <w:link w:val="BalonMetni"/>
    <w:uiPriority w:val="99"/>
    <w:semiHidden/>
    <w:rsid w:val="008465DB"/>
    <w:rPr>
      <w:rFonts w:ascii="Lucida Grande" w:hAnsi="Lucida Grande" w:cs="Lucida Grande"/>
      <w:sz w:val="18"/>
      <w:szCs w:val="18"/>
    </w:rPr>
  </w:style>
  <w:style w:type="table" w:styleId="TabloKlavuzu">
    <w:name w:val="Table Grid"/>
    <w:basedOn w:val="NormalTablo"/>
    <w:uiPriority w:val="59"/>
    <w:rsid w:val="00737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Heading 1 Char"/>
    <w:basedOn w:val="VarsaylanParagrafYazTipi"/>
    <w:link w:val="Balk1"/>
    <w:uiPriority w:val="9"/>
    <w:rsid w:val="002130BE"/>
    <w:rPr>
      <w:rFonts w:asciiTheme="majorHAnsi" w:eastAsiaTheme="majorEastAsia" w:hAnsiTheme="majorHAnsi" w:cstheme="majorBidi"/>
      <w:b/>
      <w:bCs/>
      <w:szCs w:val="32"/>
      <w:lang w:val="tr-TR"/>
    </w:rPr>
  </w:style>
  <w:style w:type="character" w:customStyle="1" w:styleId="Balk2Char">
    <w:name w:val="Heading 2 Char"/>
    <w:basedOn w:val="VarsaylanParagrafYazTipi"/>
    <w:link w:val="Balk2"/>
    <w:uiPriority w:val="9"/>
    <w:rsid w:val="002130BE"/>
    <w:rPr>
      <w:rFonts w:asciiTheme="majorHAnsi" w:eastAsiaTheme="majorEastAsia" w:hAnsiTheme="majorHAnsi" w:cstheme="majorBidi"/>
      <w:b/>
      <w:bCs/>
      <w:sz w:val="22"/>
      <w:szCs w:val="26"/>
    </w:rPr>
  </w:style>
  <w:style w:type="paragraph" w:styleId="T1">
    <w:name w:val="toc 1"/>
    <w:basedOn w:val="Normal"/>
    <w:next w:val="Normal"/>
    <w:autoRedefine/>
    <w:uiPriority w:val="39"/>
    <w:unhideWhenUsed/>
    <w:rsid w:val="002130BE"/>
    <w:pPr>
      <w:spacing w:after="100"/>
    </w:pPr>
  </w:style>
  <w:style w:type="paragraph" w:styleId="T2">
    <w:name w:val="toc 2"/>
    <w:basedOn w:val="Normal"/>
    <w:next w:val="Normal"/>
    <w:autoRedefine/>
    <w:uiPriority w:val="39"/>
    <w:unhideWhenUsed/>
    <w:rsid w:val="002130BE"/>
    <w:pPr>
      <w:spacing w:after="100"/>
      <w:ind w:left="240"/>
    </w:pPr>
  </w:style>
  <w:style w:type="paragraph" w:styleId="Altbilgi">
    <w:name w:val="footer"/>
    <w:basedOn w:val="Normal"/>
    <w:link w:val="AltbilgiChar"/>
    <w:uiPriority w:val="99"/>
    <w:unhideWhenUsed/>
    <w:rsid w:val="000D6A4B"/>
    <w:pPr>
      <w:tabs>
        <w:tab w:val="center" w:pos="4320"/>
        <w:tab w:val="right" w:pos="8640"/>
      </w:tabs>
    </w:pPr>
  </w:style>
  <w:style w:type="character" w:customStyle="1" w:styleId="AltbilgiChar">
    <w:name w:val="Footer Char"/>
    <w:basedOn w:val="VarsaylanParagrafYazTipi"/>
    <w:link w:val="Altbilgi"/>
    <w:uiPriority w:val="99"/>
    <w:rsid w:val="000D6A4B"/>
  </w:style>
  <w:style w:type="character" w:styleId="SayfaNumaras">
    <w:name w:val="page number"/>
    <w:basedOn w:val="VarsaylanParagrafYazTipi"/>
    <w:uiPriority w:val="99"/>
    <w:semiHidden/>
    <w:unhideWhenUsed/>
    <w:rsid w:val="000D6A4B"/>
  </w:style>
  <w:style w:type="paragraph" w:styleId="stbilgi">
    <w:name w:val="header"/>
    <w:basedOn w:val="Normal"/>
    <w:link w:val="stbilgiChar"/>
    <w:uiPriority w:val="99"/>
    <w:unhideWhenUsed/>
    <w:rsid w:val="000D6A4B"/>
    <w:pPr>
      <w:tabs>
        <w:tab w:val="center" w:pos="4320"/>
        <w:tab w:val="right" w:pos="8640"/>
      </w:tabs>
    </w:pPr>
  </w:style>
  <w:style w:type="character" w:customStyle="1" w:styleId="stbilgiChar">
    <w:name w:val="Header Char"/>
    <w:basedOn w:val="VarsaylanParagrafYazTipi"/>
    <w:link w:val="stbilgi"/>
    <w:uiPriority w:val="99"/>
    <w:rsid w:val="000D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1407">
      <w:bodyDiv w:val="1"/>
      <w:marLeft w:val="0"/>
      <w:marRight w:val="0"/>
      <w:marTop w:val="0"/>
      <w:marBottom w:val="0"/>
      <w:divBdr>
        <w:top w:val="none" w:sz="0" w:space="0" w:color="auto"/>
        <w:left w:val="none" w:sz="0" w:space="0" w:color="auto"/>
        <w:bottom w:val="none" w:sz="0" w:space="0" w:color="auto"/>
        <w:right w:val="none" w:sz="0" w:space="0" w:color="auto"/>
      </w:divBdr>
    </w:div>
    <w:div w:id="100230159">
      <w:bodyDiv w:val="1"/>
      <w:marLeft w:val="0"/>
      <w:marRight w:val="0"/>
      <w:marTop w:val="0"/>
      <w:marBottom w:val="0"/>
      <w:divBdr>
        <w:top w:val="none" w:sz="0" w:space="0" w:color="auto"/>
        <w:left w:val="none" w:sz="0" w:space="0" w:color="auto"/>
        <w:bottom w:val="none" w:sz="0" w:space="0" w:color="auto"/>
        <w:right w:val="none" w:sz="0" w:space="0" w:color="auto"/>
      </w:divBdr>
    </w:div>
    <w:div w:id="234558121">
      <w:bodyDiv w:val="1"/>
      <w:marLeft w:val="0"/>
      <w:marRight w:val="0"/>
      <w:marTop w:val="0"/>
      <w:marBottom w:val="0"/>
      <w:divBdr>
        <w:top w:val="none" w:sz="0" w:space="0" w:color="auto"/>
        <w:left w:val="none" w:sz="0" w:space="0" w:color="auto"/>
        <w:bottom w:val="none" w:sz="0" w:space="0" w:color="auto"/>
        <w:right w:val="none" w:sz="0" w:space="0" w:color="auto"/>
      </w:divBdr>
    </w:div>
    <w:div w:id="337542085">
      <w:bodyDiv w:val="1"/>
      <w:marLeft w:val="0"/>
      <w:marRight w:val="0"/>
      <w:marTop w:val="0"/>
      <w:marBottom w:val="0"/>
      <w:divBdr>
        <w:top w:val="none" w:sz="0" w:space="0" w:color="auto"/>
        <w:left w:val="none" w:sz="0" w:space="0" w:color="auto"/>
        <w:bottom w:val="none" w:sz="0" w:space="0" w:color="auto"/>
        <w:right w:val="none" w:sz="0" w:space="0" w:color="auto"/>
      </w:divBdr>
    </w:div>
    <w:div w:id="488980071">
      <w:bodyDiv w:val="1"/>
      <w:marLeft w:val="0"/>
      <w:marRight w:val="0"/>
      <w:marTop w:val="0"/>
      <w:marBottom w:val="0"/>
      <w:divBdr>
        <w:top w:val="none" w:sz="0" w:space="0" w:color="auto"/>
        <w:left w:val="none" w:sz="0" w:space="0" w:color="auto"/>
        <w:bottom w:val="none" w:sz="0" w:space="0" w:color="auto"/>
        <w:right w:val="none" w:sz="0" w:space="0" w:color="auto"/>
      </w:divBdr>
    </w:div>
    <w:div w:id="997928472">
      <w:bodyDiv w:val="1"/>
      <w:marLeft w:val="0"/>
      <w:marRight w:val="0"/>
      <w:marTop w:val="0"/>
      <w:marBottom w:val="0"/>
      <w:divBdr>
        <w:top w:val="none" w:sz="0" w:space="0" w:color="auto"/>
        <w:left w:val="none" w:sz="0" w:space="0" w:color="auto"/>
        <w:bottom w:val="none" w:sz="0" w:space="0" w:color="auto"/>
        <w:right w:val="none" w:sz="0" w:space="0" w:color="auto"/>
      </w:divBdr>
    </w:div>
    <w:div w:id="1004479481">
      <w:bodyDiv w:val="1"/>
      <w:marLeft w:val="0"/>
      <w:marRight w:val="0"/>
      <w:marTop w:val="0"/>
      <w:marBottom w:val="0"/>
      <w:divBdr>
        <w:top w:val="none" w:sz="0" w:space="0" w:color="auto"/>
        <w:left w:val="none" w:sz="0" w:space="0" w:color="auto"/>
        <w:bottom w:val="none" w:sz="0" w:space="0" w:color="auto"/>
        <w:right w:val="none" w:sz="0" w:space="0" w:color="auto"/>
      </w:divBdr>
    </w:div>
    <w:div w:id="1028604494">
      <w:bodyDiv w:val="1"/>
      <w:marLeft w:val="0"/>
      <w:marRight w:val="0"/>
      <w:marTop w:val="0"/>
      <w:marBottom w:val="0"/>
      <w:divBdr>
        <w:top w:val="none" w:sz="0" w:space="0" w:color="auto"/>
        <w:left w:val="none" w:sz="0" w:space="0" w:color="auto"/>
        <w:bottom w:val="none" w:sz="0" w:space="0" w:color="auto"/>
        <w:right w:val="none" w:sz="0" w:space="0" w:color="auto"/>
      </w:divBdr>
    </w:div>
    <w:div w:id="1076437125">
      <w:bodyDiv w:val="1"/>
      <w:marLeft w:val="0"/>
      <w:marRight w:val="0"/>
      <w:marTop w:val="0"/>
      <w:marBottom w:val="0"/>
      <w:divBdr>
        <w:top w:val="none" w:sz="0" w:space="0" w:color="auto"/>
        <w:left w:val="none" w:sz="0" w:space="0" w:color="auto"/>
        <w:bottom w:val="none" w:sz="0" w:space="0" w:color="auto"/>
        <w:right w:val="none" w:sz="0" w:space="0" w:color="auto"/>
      </w:divBdr>
    </w:div>
    <w:div w:id="1128158076">
      <w:bodyDiv w:val="1"/>
      <w:marLeft w:val="0"/>
      <w:marRight w:val="0"/>
      <w:marTop w:val="0"/>
      <w:marBottom w:val="0"/>
      <w:divBdr>
        <w:top w:val="none" w:sz="0" w:space="0" w:color="auto"/>
        <w:left w:val="none" w:sz="0" w:space="0" w:color="auto"/>
        <w:bottom w:val="none" w:sz="0" w:space="0" w:color="auto"/>
        <w:right w:val="none" w:sz="0" w:space="0" w:color="auto"/>
      </w:divBdr>
    </w:div>
    <w:div w:id="1341466688">
      <w:bodyDiv w:val="1"/>
      <w:marLeft w:val="0"/>
      <w:marRight w:val="0"/>
      <w:marTop w:val="0"/>
      <w:marBottom w:val="0"/>
      <w:divBdr>
        <w:top w:val="none" w:sz="0" w:space="0" w:color="auto"/>
        <w:left w:val="none" w:sz="0" w:space="0" w:color="auto"/>
        <w:bottom w:val="none" w:sz="0" w:space="0" w:color="auto"/>
        <w:right w:val="none" w:sz="0" w:space="0" w:color="auto"/>
      </w:divBdr>
    </w:div>
    <w:div w:id="1426074836">
      <w:bodyDiv w:val="1"/>
      <w:marLeft w:val="0"/>
      <w:marRight w:val="0"/>
      <w:marTop w:val="0"/>
      <w:marBottom w:val="0"/>
      <w:divBdr>
        <w:top w:val="none" w:sz="0" w:space="0" w:color="auto"/>
        <w:left w:val="none" w:sz="0" w:space="0" w:color="auto"/>
        <w:bottom w:val="none" w:sz="0" w:space="0" w:color="auto"/>
        <w:right w:val="none" w:sz="0" w:space="0" w:color="auto"/>
      </w:divBdr>
    </w:div>
    <w:div w:id="1437210196">
      <w:bodyDiv w:val="1"/>
      <w:marLeft w:val="0"/>
      <w:marRight w:val="0"/>
      <w:marTop w:val="0"/>
      <w:marBottom w:val="0"/>
      <w:divBdr>
        <w:top w:val="none" w:sz="0" w:space="0" w:color="auto"/>
        <w:left w:val="none" w:sz="0" w:space="0" w:color="auto"/>
        <w:bottom w:val="none" w:sz="0" w:space="0" w:color="auto"/>
        <w:right w:val="none" w:sz="0" w:space="0" w:color="auto"/>
      </w:divBdr>
    </w:div>
    <w:div w:id="1446465178">
      <w:bodyDiv w:val="1"/>
      <w:marLeft w:val="0"/>
      <w:marRight w:val="0"/>
      <w:marTop w:val="0"/>
      <w:marBottom w:val="0"/>
      <w:divBdr>
        <w:top w:val="none" w:sz="0" w:space="0" w:color="auto"/>
        <w:left w:val="none" w:sz="0" w:space="0" w:color="auto"/>
        <w:bottom w:val="none" w:sz="0" w:space="0" w:color="auto"/>
        <w:right w:val="none" w:sz="0" w:space="0" w:color="auto"/>
      </w:divBdr>
    </w:div>
    <w:div w:id="1573660405">
      <w:bodyDiv w:val="1"/>
      <w:marLeft w:val="0"/>
      <w:marRight w:val="0"/>
      <w:marTop w:val="0"/>
      <w:marBottom w:val="0"/>
      <w:divBdr>
        <w:top w:val="none" w:sz="0" w:space="0" w:color="auto"/>
        <w:left w:val="none" w:sz="0" w:space="0" w:color="auto"/>
        <w:bottom w:val="none" w:sz="0" w:space="0" w:color="auto"/>
        <w:right w:val="none" w:sz="0" w:space="0" w:color="auto"/>
      </w:divBdr>
    </w:div>
    <w:div w:id="1764378444">
      <w:bodyDiv w:val="1"/>
      <w:marLeft w:val="0"/>
      <w:marRight w:val="0"/>
      <w:marTop w:val="0"/>
      <w:marBottom w:val="0"/>
      <w:divBdr>
        <w:top w:val="none" w:sz="0" w:space="0" w:color="auto"/>
        <w:left w:val="none" w:sz="0" w:space="0" w:color="auto"/>
        <w:bottom w:val="none" w:sz="0" w:space="0" w:color="auto"/>
        <w:right w:val="none" w:sz="0" w:space="0" w:color="auto"/>
      </w:divBdr>
    </w:div>
    <w:div w:id="1907370637">
      <w:bodyDiv w:val="1"/>
      <w:marLeft w:val="0"/>
      <w:marRight w:val="0"/>
      <w:marTop w:val="0"/>
      <w:marBottom w:val="0"/>
      <w:divBdr>
        <w:top w:val="none" w:sz="0" w:space="0" w:color="auto"/>
        <w:left w:val="none" w:sz="0" w:space="0" w:color="auto"/>
        <w:bottom w:val="none" w:sz="0" w:space="0" w:color="auto"/>
        <w:right w:val="none" w:sz="0" w:space="0" w:color="auto"/>
      </w:divBdr>
    </w:div>
    <w:div w:id="213551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A507-0679-4AC3-BA42-37A57370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17</Pages>
  <Words>6589</Words>
  <Characters>37559</Characters>
  <Application>Microsoft Office Word</Application>
  <DocSecurity>0</DocSecurity>
  <Lines>312</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Bahcivan</dc:creator>
  <cp:keywords/>
  <dc:description/>
  <cp:lastModifiedBy>Pro</cp:lastModifiedBy>
  <cp:revision>116</cp:revision>
  <dcterms:created xsi:type="dcterms:W3CDTF">2016-11-09T11:09:00Z</dcterms:created>
  <dcterms:modified xsi:type="dcterms:W3CDTF">2016-11-24T12:17:00Z</dcterms:modified>
</cp:coreProperties>
</file>